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i w:val="0"/>
          <w:caps w:val="0"/>
          <w:color w:val="auto"/>
          <w:spacing w:val="0"/>
          <w:sz w:val="44"/>
          <w:szCs w:val="44"/>
        </w:rPr>
      </w:pPr>
      <w:bookmarkStart w:id="0" w:name="_Hlk476726591"/>
      <w:bookmarkEnd w:id="0"/>
    </w:p>
    <w:p>
      <w:pPr>
        <w:jc w:val="center"/>
        <w:rPr>
          <w:rFonts w:hint="eastAsia" w:ascii="宋体" w:hAnsi="宋体" w:eastAsia="宋体" w:cs="宋体"/>
          <w:b/>
          <w:i w:val="0"/>
          <w:caps w:val="0"/>
          <w:color w:val="auto"/>
          <w:spacing w:val="0"/>
          <w:sz w:val="44"/>
          <w:szCs w:val="44"/>
        </w:rPr>
      </w:pPr>
    </w:p>
    <w:p>
      <w:pPr>
        <w:jc w:val="center"/>
        <w:rPr>
          <w:rFonts w:hint="eastAsia" w:ascii="仿宋" w:hAnsi="仿宋" w:eastAsia="仿宋" w:cs="仿宋"/>
          <w:b w:val="0"/>
          <w:i w:val="0"/>
          <w:caps w:val="0"/>
          <w:color w:val="auto"/>
          <w:spacing w:val="0"/>
          <w:sz w:val="32"/>
          <w:szCs w:val="32"/>
          <w:lang w:val="en-US" w:eastAsia="zh-CN"/>
        </w:rPr>
      </w:pPr>
      <w:r>
        <w:rPr>
          <w:rFonts w:hint="eastAsia" w:ascii="宋体" w:hAnsi="宋体" w:eastAsia="宋体" w:cs="宋体"/>
          <w:b/>
          <w:i w:val="0"/>
          <w:caps w:val="0"/>
          <w:color w:val="auto"/>
          <w:spacing w:val="0"/>
          <w:sz w:val="44"/>
          <w:szCs w:val="44"/>
        </w:rPr>
        <w:t>201</w:t>
      </w:r>
      <w:r>
        <w:rPr>
          <w:rFonts w:hint="eastAsia" w:ascii="宋体" w:hAnsi="宋体" w:eastAsia="宋体" w:cs="宋体"/>
          <w:b/>
          <w:i w:val="0"/>
          <w:caps w:val="0"/>
          <w:color w:val="auto"/>
          <w:spacing w:val="0"/>
          <w:sz w:val="44"/>
          <w:szCs w:val="44"/>
          <w:lang w:val="en-US" w:eastAsia="zh-CN"/>
        </w:rPr>
        <w:t>8</w:t>
      </w:r>
      <w:r>
        <w:rPr>
          <w:rFonts w:hint="eastAsia" w:ascii="宋体" w:hAnsi="宋体" w:eastAsia="宋体" w:cs="宋体"/>
          <w:b/>
          <w:i w:val="0"/>
          <w:caps w:val="0"/>
          <w:color w:val="auto"/>
          <w:spacing w:val="0"/>
          <w:sz w:val="44"/>
          <w:szCs w:val="44"/>
        </w:rPr>
        <w:t>淄博市政府信息公开工作年度报告</w:t>
      </w:r>
    </w:p>
    <w:p>
      <w:pPr>
        <w:jc w:val="both"/>
        <w:rPr>
          <w:rFonts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lang w:val="en-US" w:eastAsia="zh-CN"/>
        </w:rPr>
        <w:drawing>
          <wp:anchor distT="0" distB="0" distL="114300" distR="114300" simplePos="0" relativeHeight="1022291968" behindDoc="1" locked="0" layoutInCell="1" allowOverlap="1">
            <wp:simplePos x="0" y="0"/>
            <wp:positionH relativeFrom="column">
              <wp:posOffset>-9525</wp:posOffset>
            </wp:positionH>
            <wp:positionV relativeFrom="paragraph">
              <wp:posOffset>287655</wp:posOffset>
            </wp:positionV>
            <wp:extent cx="5271770" cy="2247900"/>
            <wp:effectExtent l="28575" t="28575" r="33655" b="28575"/>
            <wp:wrapTight wrapText="bothSides">
              <wp:wrapPolygon>
                <wp:start x="-117" y="-275"/>
                <wp:lineTo x="-117" y="21692"/>
                <wp:lineTo x="21660" y="21692"/>
                <wp:lineTo x="21660" y="-275"/>
                <wp:lineTo x="-117" y="-275"/>
              </wp:wrapPolygon>
            </wp:wrapTight>
            <wp:docPr id="3" name="图片 3" descr="155382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53822775"/>
                    <pic:cNvPicPr>
                      <a:picLocks noChangeAspect="1"/>
                    </pic:cNvPicPr>
                  </pic:nvPicPr>
                  <pic:blipFill>
                    <a:blip r:embed="rId8"/>
                    <a:stretch>
                      <a:fillRect/>
                    </a:stretch>
                  </pic:blipFill>
                  <pic:spPr>
                    <a:xfrm>
                      <a:off x="0" y="0"/>
                      <a:ext cx="5271770" cy="224790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 xml:space="preserve">    </w:t>
      </w:r>
      <w:r>
        <w:rPr>
          <w:rFonts w:ascii="仿宋" w:hAnsi="仿宋" w:eastAsia="仿宋" w:cs="仿宋"/>
          <w:b w:val="0"/>
          <w:i w:val="0"/>
          <w:caps w:val="0"/>
          <w:color w:val="auto"/>
          <w:spacing w:val="0"/>
          <w:sz w:val="32"/>
          <w:szCs w:val="32"/>
        </w:rPr>
        <w:t>本报告按照《中华人民共和国政府信息公开条例》（以下简称《条例》）和《山东省政府信息公开办法》（以下简称《办法》）规定，</w:t>
      </w:r>
      <w:r>
        <w:rPr>
          <w:rFonts w:hint="eastAsia" w:ascii="仿宋" w:hAnsi="仿宋" w:eastAsia="仿宋" w:cs="仿宋"/>
          <w:b w:val="0"/>
          <w:i w:val="0"/>
          <w:caps w:val="0"/>
          <w:color w:val="auto"/>
          <w:spacing w:val="0"/>
          <w:sz w:val="32"/>
          <w:szCs w:val="32"/>
          <w:lang w:eastAsia="zh-CN"/>
        </w:rPr>
        <w:t>由淄博市人民政府办公室综合淄博市</w:t>
      </w:r>
      <w:r>
        <w:rPr>
          <w:rFonts w:ascii="仿宋" w:hAnsi="仿宋" w:eastAsia="仿宋" w:cs="仿宋"/>
          <w:b w:val="0"/>
          <w:i w:val="0"/>
          <w:caps w:val="0"/>
          <w:color w:val="auto"/>
          <w:spacing w:val="0"/>
          <w:sz w:val="32"/>
          <w:szCs w:val="32"/>
        </w:rPr>
        <w:t>各区县人民政府</w:t>
      </w:r>
      <w:r>
        <w:rPr>
          <w:rFonts w:hint="eastAsia" w:ascii="仿宋" w:hAnsi="仿宋" w:eastAsia="仿宋" w:cs="仿宋"/>
          <w:b w:val="0"/>
          <w:i w:val="0"/>
          <w:caps w:val="0"/>
          <w:color w:val="auto"/>
          <w:spacing w:val="0"/>
          <w:sz w:val="32"/>
          <w:szCs w:val="32"/>
          <w:lang w:eastAsia="zh-CN"/>
        </w:rPr>
        <w:t>和</w:t>
      </w:r>
      <w:r>
        <w:rPr>
          <w:rFonts w:ascii="仿宋" w:hAnsi="仿宋" w:eastAsia="仿宋" w:cs="仿宋"/>
          <w:b w:val="0"/>
          <w:i w:val="0"/>
          <w:caps w:val="0"/>
          <w:color w:val="auto"/>
          <w:spacing w:val="0"/>
          <w:sz w:val="32"/>
          <w:szCs w:val="32"/>
        </w:rPr>
        <w:t>高新区、</w:t>
      </w:r>
      <w:r>
        <w:rPr>
          <w:rFonts w:hint="eastAsia" w:ascii="仿宋" w:hAnsi="仿宋" w:eastAsia="仿宋" w:cs="仿宋"/>
          <w:b w:val="0"/>
          <w:i w:val="0"/>
          <w:caps w:val="0"/>
          <w:color w:val="auto"/>
          <w:spacing w:val="0"/>
          <w:sz w:val="32"/>
          <w:szCs w:val="32"/>
          <w:lang w:eastAsia="zh-CN"/>
        </w:rPr>
        <w:t>经济开发区、</w:t>
      </w:r>
      <w:r>
        <w:rPr>
          <w:rFonts w:ascii="仿宋" w:hAnsi="仿宋" w:eastAsia="仿宋" w:cs="仿宋"/>
          <w:b w:val="0"/>
          <w:i w:val="0"/>
          <w:caps w:val="0"/>
          <w:color w:val="auto"/>
          <w:spacing w:val="0"/>
          <w:sz w:val="32"/>
          <w:szCs w:val="32"/>
        </w:rPr>
        <w:t>文昌湖区管委会</w:t>
      </w:r>
      <w:r>
        <w:rPr>
          <w:rFonts w:hint="eastAsia" w:ascii="仿宋" w:hAnsi="仿宋" w:eastAsia="仿宋" w:cs="仿宋"/>
          <w:b w:val="0"/>
          <w:i w:val="0"/>
          <w:caps w:val="0"/>
          <w:color w:val="auto"/>
          <w:spacing w:val="0"/>
          <w:sz w:val="32"/>
          <w:szCs w:val="32"/>
          <w:lang w:eastAsia="zh-CN"/>
        </w:rPr>
        <w:t>及</w:t>
      </w:r>
      <w:r>
        <w:rPr>
          <w:rFonts w:ascii="仿宋" w:hAnsi="仿宋" w:eastAsia="仿宋" w:cs="仿宋"/>
          <w:b w:val="0"/>
          <w:i w:val="0"/>
          <w:caps w:val="0"/>
          <w:color w:val="auto"/>
          <w:spacing w:val="0"/>
          <w:sz w:val="32"/>
          <w:szCs w:val="32"/>
        </w:rPr>
        <w:t>市政府各</w:t>
      </w:r>
      <w:r>
        <w:rPr>
          <w:rFonts w:hint="eastAsia" w:ascii="仿宋" w:hAnsi="仿宋" w:eastAsia="仿宋" w:cs="仿宋"/>
          <w:b w:val="0"/>
          <w:i w:val="0"/>
          <w:caps w:val="0"/>
          <w:color w:val="auto"/>
          <w:spacing w:val="0"/>
          <w:sz w:val="32"/>
          <w:szCs w:val="32"/>
          <w:lang w:eastAsia="zh-CN"/>
        </w:rPr>
        <w:t>组成</w:t>
      </w:r>
      <w:r>
        <w:rPr>
          <w:rFonts w:ascii="仿宋" w:hAnsi="仿宋" w:eastAsia="仿宋" w:cs="仿宋"/>
          <w:b w:val="0"/>
          <w:i w:val="0"/>
          <w:caps w:val="0"/>
          <w:color w:val="auto"/>
          <w:spacing w:val="0"/>
          <w:sz w:val="32"/>
          <w:szCs w:val="32"/>
        </w:rPr>
        <w:t>部门、各有关单位政府信息公开工作</w:t>
      </w:r>
      <w:r>
        <w:rPr>
          <w:rFonts w:hint="eastAsia" w:ascii="仿宋" w:hAnsi="仿宋" w:eastAsia="仿宋" w:cs="仿宋"/>
          <w:b w:val="0"/>
          <w:i w:val="0"/>
          <w:caps w:val="0"/>
          <w:color w:val="auto"/>
          <w:spacing w:val="0"/>
          <w:sz w:val="32"/>
          <w:szCs w:val="32"/>
          <w:lang w:eastAsia="zh-CN"/>
        </w:rPr>
        <w:t>情况</w:t>
      </w:r>
      <w:r>
        <w:rPr>
          <w:rFonts w:ascii="仿宋" w:hAnsi="仿宋" w:eastAsia="仿宋" w:cs="仿宋"/>
          <w:b w:val="0"/>
          <w:i w:val="0"/>
          <w:caps w:val="0"/>
          <w:color w:val="auto"/>
          <w:spacing w:val="0"/>
          <w:sz w:val="32"/>
          <w:szCs w:val="32"/>
        </w:rPr>
        <w:t>编制。</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rPr>
        <w:t>报告全文由概述</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主动公开政府信息情况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依申请公开政府信息情况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政府信息公开行政案件和举报投诉情况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政府信息公开工作机构</w:t>
      </w:r>
      <w:r>
        <w:rPr>
          <w:rFonts w:hint="eastAsia" w:ascii="仿宋" w:hAnsi="仿宋" w:eastAsia="仿宋" w:cs="仿宋"/>
          <w:b w:val="0"/>
          <w:i w:val="0"/>
          <w:caps w:val="0"/>
          <w:color w:val="auto"/>
          <w:spacing w:val="0"/>
          <w:sz w:val="32"/>
          <w:szCs w:val="32"/>
          <w:lang w:eastAsia="zh-CN"/>
        </w:rPr>
        <w:t>和</w:t>
      </w:r>
      <w:r>
        <w:rPr>
          <w:rFonts w:hint="eastAsia" w:ascii="仿宋" w:hAnsi="仿宋" w:eastAsia="仿宋" w:cs="仿宋"/>
          <w:b w:val="0"/>
          <w:i w:val="0"/>
          <w:caps w:val="0"/>
          <w:color w:val="auto"/>
          <w:spacing w:val="0"/>
          <w:sz w:val="32"/>
          <w:szCs w:val="32"/>
        </w:rPr>
        <w:t>人员情况</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存在的不足及改进措施</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需要说明的事项及附表七个部分组成。</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lang w:eastAsia="zh-CN"/>
        </w:rPr>
        <w:t>报告中所列数据统计期限自</w:t>
      </w:r>
      <w:r>
        <w:rPr>
          <w:rFonts w:hint="eastAsia" w:ascii="仿宋" w:hAnsi="仿宋" w:eastAsia="仿宋" w:cs="仿宋"/>
          <w:b w:val="0"/>
          <w:i w:val="0"/>
          <w:caps w:val="0"/>
          <w:color w:val="auto"/>
          <w:spacing w:val="0"/>
          <w:sz w:val="32"/>
          <w:szCs w:val="32"/>
          <w:lang w:val="en-US" w:eastAsia="zh-CN"/>
        </w:rPr>
        <w:t>2018年1月1日始至2018</w:t>
      </w:r>
      <w:r>
        <w:rPr>
          <w:rFonts w:hint="eastAsia" w:ascii="仿宋" w:hAnsi="仿宋" w:eastAsia="仿宋" w:cs="仿宋"/>
          <w:b w:val="0"/>
          <w:i w:val="0"/>
          <w:caps w:val="0"/>
          <w:color w:val="auto"/>
          <w:spacing w:val="0"/>
          <w:sz w:val="32"/>
          <w:szCs w:val="32"/>
        </w:rPr>
        <w:t>年12月31日止。报告电子版可从淄博市人民政府门户网站（www.zibo.gov.cn）下载。如对报告内容有疑问，请与淄</w:t>
      </w:r>
    </w:p>
    <w:p>
      <w:pPr>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rPr>
        <w:t>博市人民政府政务公开办公室联系（地址：淄博市张店区人民西路8号；邮编：255003；电话：0533-3183622）。</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0"/>
        <w:rPr>
          <w:rFonts w:hint="eastAsia" w:ascii="黑体" w:hAnsi="黑体" w:eastAsia="黑体" w:cs="黑体"/>
          <w:b/>
          <w:bCs w:val="0"/>
          <w:i w:val="0"/>
          <w:caps w:val="0"/>
          <w:color w:val="auto"/>
          <w:spacing w:val="0"/>
          <w:sz w:val="32"/>
          <w:szCs w:val="32"/>
          <w:lang w:eastAsia="zh-CN"/>
        </w:rPr>
      </w:pPr>
      <w:r>
        <w:rPr>
          <w:rFonts w:hint="eastAsia" w:ascii="黑体" w:hAnsi="黑体" w:eastAsia="黑体" w:cs="黑体"/>
          <w:b/>
          <w:bCs w:val="0"/>
          <w:i w:val="0"/>
          <w:caps w:val="0"/>
          <w:color w:val="auto"/>
          <w:spacing w:val="0"/>
          <w:sz w:val="32"/>
          <w:szCs w:val="32"/>
          <w:lang w:eastAsia="zh-CN"/>
        </w:rPr>
        <w:t>一、概述</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rPr>
        <w:t>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rPr>
        <w:t>年，</w:t>
      </w:r>
      <w:r>
        <w:rPr>
          <w:rFonts w:hint="eastAsia" w:ascii="仿宋" w:hAnsi="仿宋" w:eastAsia="仿宋" w:cs="仿宋"/>
          <w:b w:val="0"/>
          <w:i w:val="0"/>
          <w:caps w:val="0"/>
          <w:color w:val="auto"/>
          <w:spacing w:val="0"/>
          <w:sz w:val="32"/>
          <w:szCs w:val="32"/>
          <w:lang w:eastAsia="zh-CN"/>
        </w:rPr>
        <w:t>淄博市继续</w:t>
      </w:r>
      <w:r>
        <w:rPr>
          <w:rFonts w:hint="eastAsia" w:ascii="仿宋" w:hAnsi="仿宋" w:eastAsia="仿宋" w:cs="仿宋"/>
          <w:b w:val="0"/>
          <w:i w:val="0"/>
          <w:caps w:val="0"/>
          <w:color w:val="auto"/>
          <w:spacing w:val="0"/>
          <w:sz w:val="32"/>
          <w:szCs w:val="32"/>
        </w:rPr>
        <w:t>深入贯彻《条例》</w:t>
      </w:r>
      <w:r>
        <w:rPr>
          <w:rFonts w:hint="eastAsia" w:ascii="仿宋" w:hAnsi="仿宋" w:eastAsia="仿宋" w:cs="仿宋"/>
          <w:b w:val="0"/>
          <w:i w:val="0"/>
          <w:caps w:val="0"/>
          <w:color w:val="auto"/>
          <w:spacing w:val="0"/>
          <w:sz w:val="32"/>
          <w:szCs w:val="32"/>
          <w:lang w:eastAsia="zh-CN"/>
        </w:rPr>
        <w:t>和</w:t>
      </w:r>
      <w:r>
        <w:rPr>
          <w:rFonts w:hint="eastAsia" w:ascii="仿宋" w:hAnsi="仿宋" w:eastAsia="仿宋" w:cs="仿宋"/>
          <w:b w:val="0"/>
          <w:i w:val="0"/>
          <w:caps w:val="0"/>
          <w:color w:val="auto"/>
          <w:spacing w:val="0"/>
          <w:sz w:val="32"/>
          <w:szCs w:val="32"/>
        </w:rPr>
        <w:t>《</w:t>
      </w:r>
      <w:r>
        <w:rPr>
          <w:rFonts w:hint="eastAsia" w:ascii="仿宋" w:hAnsi="仿宋" w:eastAsia="仿宋" w:cs="仿宋"/>
          <w:b w:val="0"/>
          <w:i w:val="0"/>
          <w:caps w:val="0"/>
          <w:color w:val="auto"/>
          <w:spacing w:val="0"/>
          <w:sz w:val="32"/>
          <w:szCs w:val="32"/>
          <w:lang w:eastAsia="zh-CN"/>
        </w:rPr>
        <w:t>办法</w:t>
      </w:r>
      <w:r>
        <w:rPr>
          <w:rFonts w:hint="eastAsia" w:ascii="仿宋" w:hAnsi="仿宋" w:eastAsia="仿宋" w:cs="仿宋"/>
          <w:b w:val="0"/>
          <w:i w:val="0"/>
          <w:caps w:val="0"/>
          <w:color w:val="auto"/>
          <w:spacing w:val="0"/>
          <w:sz w:val="32"/>
          <w:szCs w:val="32"/>
        </w:rPr>
        <w:t>》，认真落实《国务院办公厅关于印发201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rPr>
        <w:t>年政务公开工作要点的通知》（国办发〔201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rPr>
        <w:t>〕2</w:t>
      </w:r>
      <w:r>
        <w:rPr>
          <w:rFonts w:hint="eastAsia" w:ascii="仿宋" w:hAnsi="仿宋" w:eastAsia="仿宋" w:cs="仿宋"/>
          <w:b w:val="0"/>
          <w:i w:val="0"/>
          <w:caps w:val="0"/>
          <w:color w:val="auto"/>
          <w:spacing w:val="0"/>
          <w:sz w:val="32"/>
          <w:szCs w:val="32"/>
          <w:lang w:val="en-US" w:eastAsia="zh-CN"/>
        </w:rPr>
        <w:t>3</w:t>
      </w:r>
      <w:r>
        <w:rPr>
          <w:rFonts w:hint="eastAsia" w:ascii="仿宋" w:hAnsi="仿宋" w:eastAsia="仿宋" w:cs="仿宋"/>
          <w:b w:val="0"/>
          <w:i w:val="0"/>
          <w:caps w:val="0"/>
          <w:color w:val="auto"/>
          <w:spacing w:val="0"/>
          <w:sz w:val="32"/>
          <w:szCs w:val="32"/>
        </w:rPr>
        <w:t>号）</w:t>
      </w:r>
      <w:r>
        <w:rPr>
          <w:rFonts w:hint="eastAsia" w:ascii="仿宋" w:hAnsi="仿宋" w:eastAsia="仿宋" w:cs="仿宋"/>
          <w:b w:val="0"/>
          <w:i w:val="0"/>
          <w:caps w:val="0"/>
          <w:color w:val="auto"/>
          <w:spacing w:val="0"/>
          <w:sz w:val="32"/>
          <w:szCs w:val="32"/>
          <w:lang w:eastAsia="zh-CN"/>
        </w:rPr>
        <w:t>和《山东省人民政府办公厅关于进一步做好政务公开工作的通知》（</w:t>
      </w:r>
      <w:r>
        <w:rPr>
          <w:rFonts w:hint="eastAsia" w:ascii="仿宋" w:hAnsi="仿宋" w:eastAsia="仿宋" w:cs="仿宋"/>
          <w:b w:val="0"/>
          <w:i w:val="0"/>
          <w:caps w:val="0"/>
          <w:color w:val="auto"/>
          <w:spacing w:val="0"/>
          <w:sz w:val="32"/>
          <w:szCs w:val="32"/>
        </w:rPr>
        <w:t>鲁政办发〔2018〕21号</w:t>
      </w:r>
      <w:r>
        <w:rPr>
          <w:rFonts w:hint="eastAsia" w:ascii="仿宋" w:hAnsi="仿宋" w:eastAsia="仿宋" w:cs="仿宋"/>
          <w:b w:val="0"/>
          <w:i w:val="0"/>
          <w:caps w:val="0"/>
          <w:color w:val="auto"/>
          <w:spacing w:val="0"/>
          <w:sz w:val="32"/>
          <w:szCs w:val="32"/>
          <w:lang w:eastAsia="zh-CN"/>
        </w:rPr>
        <w:t>）部署的各项任务</w:t>
      </w:r>
      <w:r>
        <w:rPr>
          <w:rFonts w:hint="eastAsia" w:ascii="仿宋" w:hAnsi="仿宋" w:eastAsia="仿宋" w:cs="仿宋"/>
          <w:b w:val="0"/>
          <w:i w:val="0"/>
          <w:caps w:val="0"/>
          <w:color w:val="auto"/>
          <w:spacing w:val="0"/>
          <w:sz w:val="32"/>
          <w:szCs w:val="32"/>
        </w:rPr>
        <w:t>，</w:t>
      </w:r>
      <w:r>
        <w:rPr>
          <w:rFonts w:hint="eastAsia" w:ascii="仿宋" w:hAnsi="仿宋" w:eastAsia="仿宋" w:cs="仿宋"/>
          <w:b w:val="0"/>
          <w:i w:val="0"/>
          <w:caps w:val="0"/>
          <w:color w:val="auto"/>
          <w:spacing w:val="0"/>
          <w:sz w:val="32"/>
          <w:szCs w:val="32"/>
          <w:lang w:eastAsia="zh-CN"/>
        </w:rPr>
        <w:t>紧紧围绕扩大公开范围、拓展公开渠道、加强解读回应、提升公开实效和推进制度化规范化建设，细化工作方案，狠抓工作落实，努力</w:t>
      </w:r>
      <w:r>
        <w:rPr>
          <w:rFonts w:hint="eastAsia" w:ascii="仿宋" w:hAnsi="仿宋" w:eastAsia="仿宋" w:cs="仿宋"/>
          <w:b w:val="0"/>
          <w:i w:val="0"/>
          <w:caps w:val="0"/>
          <w:color w:val="auto"/>
          <w:spacing w:val="0"/>
          <w:sz w:val="32"/>
          <w:szCs w:val="32"/>
        </w:rPr>
        <w:t>发挥政府信息公开在服务经济社会发展、转变政府职能、</w:t>
      </w:r>
      <w:r>
        <w:rPr>
          <w:rFonts w:hint="eastAsia" w:ascii="仿宋" w:hAnsi="仿宋" w:eastAsia="仿宋" w:cs="仿宋"/>
          <w:b w:val="0"/>
          <w:i w:val="0"/>
          <w:caps w:val="0"/>
          <w:color w:val="auto"/>
          <w:spacing w:val="0"/>
          <w:sz w:val="32"/>
          <w:szCs w:val="32"/>
          <w:lang w:eastAsia="zh-CN"/>
        </w:rPr>
        <w:t>规范</w:t>
      </w:r>
      <w:r>
        <w:rPr>
          <w:rFonts w:hint="eastAsia" w:ascii="仿宋" w:hAnsi="仿宋" w:eastAsia="仿宋" w:cs="仿宋"/>
          <w:b w:val="0"/>
          <w:i w:val="0"/>
          <w:caps w:val="0"/>
          <w:color w:val="auto"/>
          <w:spacing w:val="0"/>
          <w:sz w:val="32"/>
          <w:szCs w:val="32"/>
        </w:rPr>
        <w:t>行政权力运行和保障公</w:t>
      </w:r>
      <w:r>
        <w:rPr>
          <w:rFonts w:hint="eastAsia" w:ascii="仿宋" w:hAnsi="仿宋" w:eastAsia="仿宋" w:cs="仿宋"/>
          <w:b w:val="0"/>
          <w:i w:val="0"/>
          <w:caps w:val="0"/>
          <w:color w:val="auto"/>
          <w:spacing w:val="0"/>
          <w:sz w:val="32"/>
          <w:szCs w:val="32"/>
          <w:lang w:eastAsia="zh-CN"/>
        </w:rPr>
        <w:t>众</w:t>
      </w:r>
      <w:r>
        <w:rPr>
          <w:rFonts w:hint="eastAsia" w:ascii="仿宋" w:hAnsi="仿宋" w:eastAsia="仿宋" w:cs="仿宋"/>
          <w:b w:val="0"/>
          <w:i w:val="0"/>
          <w:caps w:val="0"/>
          <w:color w:val="auto"/>
          <w:spacing w:val="0"/>
          <w:sz w:val="32"/>
          <w:szCs w:val="32"/>
        </w:rPr>
        <w:t>知情权、参与权、表达权、监督权等方面</w:t>
      </w:r>
      <w:r>
        <w:rPr>
          <w:rFonts w:hint="eastAsia" w:ascii="仿宋" w:hAnsi="仿宋" w:eastAsia="仿宋" w:cs="仿宋"/>
          <w:b w:val="0"/>
          <w:i w:val="0"/>
          <w:caps w:val="0"/>
          <w:color w:val="auto"/>
          <w:spacing w:val="0"/>
          <w:sz w:val="32"/>
          <w:szCs w:val="32"/>
          <w:lang w:eastAsia="zh-CN"/>
        </w:rPr>
        <w:t>的</w:t>
      </w:r>
      <w:r>
        <w:rPr>
          <w:rFonts w:hint="eastAsia" w:ascii="仿宋" w:hAnsi="仿宋" w:eastAsia="仿宋" w:cs="仿宋"/>
          <w:b w:val="0"/>
          <w:i w:val="0"/>
          <w:caps w:val="0"/>
          <w:color w:val="auto"/>
          <w:spacing w:val="0"/>
          <w:sz w:val="32"/>
          <w:szCs w:val="32"/>
        </w:rPr>
        <w:t>积极作用，</w:t>
      </w:r>
      <w:r>
        <w:rPr>
          <w:rFonts w:hint="eastAsia" w:ascii="仿宋" w:hAnsi="仿宋" w:eastAsia="仿宋" w:cs="仿宋"/>
          <w:b w:val="0"/>
          <w:i w:val="0"/>
          <w:caps w:val="0"/>
          <w:color w:val="auto"/>
          <w:spacing w:val="0"/>
          <w:sz w:val="32"/>
          <w:szCs w:val="32"/>
          <w:lang w:eastAsia="zh-CN"/>
        </w:rPr>
        <w:t>促进</w:t>
      </w:r>
      <w:r>
        <w:rPr>
          <w:rFonts w:hint="eastAsia" w:ascii="仿宋" w:hAnsi="仿宋" w:eastAsia="仿宋" w:cs="仿宋"/>
          <w:b w:val="0"/>
          <w:i w:val="0"/>
          <w:caps w:val="0"/>
          <w:color w:val="auto"/>
          <w:spacing w:val="0"/>
          <w:sz w:val="32"/>
          <w:szCs w:val="32"/>
        </w:rPr>
        <w:t>法治政府、廉洁政府</w:t>
      </w:r>
      <w:r>
        <w:rPr>
          <w:rFonts w:hint="eastAsia" w:ascii="仿宋" w:hAnsi="仿宋" w:eastAsia="仿宋" w:cs="仿宋"/>
          <w:b w:val="0"/>
          <w:i w:val="0"/>
          <w:caps w:val="0"/>
          <w:color w:val="auto"/>
          <w:spacing w:val="0"/>
          <w:sz w:val="32"/>
          <w:szCs w:val="32"/>
          <w:lang w:eastAsia="zh-CN"/>
        </w:rPr>
        <w:t>、</w:t>
      </w:r>
      <w:r>
        <w:rPr>
          <w:rFonts w:hint="eastAsia" w:ascii="仿宋" w:hAnsi="仿宋" w:eastAsia="仿宋" w:cs="仿宋"/>
          <w:b w:val="0"/>
          <w:i w:val="0"/>
          <w:caps w:val="0"/>
          <w:color w:val="auto"/>
          <w:spacing w:val="0"/>
          <w:sz w:val="32"/>
          <w:szCs w:val="32"/>
        </w:rPr>
        <w:t>创新型政府和服务</w:t>
      </w:r>
      <w:r>
        <w:rPr>
          <w:rFonts w:hint="eastAsia" w:ascii="仿宋" w:hAnsi="仿宋" w:eastAsia="仿宋" w:cs="仿宋"/>
          <w:b w:val="0"/>
          <w:i w:val="0"/>
          <w:caps w:val="0"/>
          <w:color w:val="auto"/>
          <w:spacing w:val="0"/>
          <w:sz w:val="32"/>
          <w:szCs w:val="32"/>
          <w:lang w:eastAsia="zh-CN"/>
        </w:rPr>
        <w:t>型</w:t>
      </w:r>
      <w:r>
        <w:rPr>
          <w:rFonts w:hint="eastAsia" w:ascii="仿宋" w:hAnsi="仿宋" w:eastAsia="仿宋" w:cs="仿宋"/>
          <w:b w:val="0"/>
          <w:i w:val="0"/>
          <w:caps w:val="0"/>
          <w:color w:val="auto"/>
          <w:spacing w:val="0"/>
          <w:sz w:val="32"/>
          <w:szCs w:val="32"/>
        </w:rPr>
        <w:t>政府建设。</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（一）加强领导，高位推动</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51721728" behindDoc="1" locked="0" layoutInCell="1" allowOverlap="1">
            <wp:simplePos x="0" y="0"/>
            <wp:positionH relativeFrom="column">
              <wp:posOffset>85725</wp:posOffset>
            </wp:positionH>
            <wp:positionV relativeFrom="paragraph">
              <wp:posOffset>394970</wp:posOffset>
            </wp:positionV>
            <wp:extent cx="2359660" cy="2303780"/>
            <wp:effectExtent l="28575" t="28575" r="50165" b="67945"/>
            <wp:wrapTight wrapText="bothSides">
              <wp:wrapPolygon>
                <wp:start x="-262" y="-268"/>
                <wp:lineTo x="-262" y="21701"/>
                <wp:lineTo x="21710" y="21701"/>
                <wp:lineTo x="21710" y="-268"/>
                <wp:lineTo x="-262" y="-268"/>
              </wp:wrapPolygon>
            </wp:wrapTight>
            <wp:docPr id="2" name="图片 2" descr="1548642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48642930(1)"/>
                    <pic:cNvPicPr>
                      <a:picLocks noChangeAspect="1"/>
                    </pic:cNvPicPr>
                  </pic:nvPicPr>
                  <pic:blipFill>
                    <a:blip r:embed="rId9"/>
                    <a:stretch>
                      <a:fillRect/>
                    </a:stretch>
                  </pic:blipFill>
                  <pic:spPr>
                    <a:xfrm>
                      <a:off x="0" y="0"/>
                      <a:ext cx="2359660" cy="2303780"/>
                    </a:xfrm>
                    <a:prstGeom prst="rect">
                      <a:avLst/>
                    </a:prstGeom>
                    <a:ln w="28575" cmpd="thickThin">
                      <a:solidFill>
                        <a:schemeClr val="accent1">
                          <a:shade val="50000"/>
                        </a:schemeClr>
                      </a:solidFill>
                      <a:prstDash val="solid"/>
                    </a:ln>
                  </pic:spPr>
                </pic:pic>
              </a:graphicData>
            </a:graphic>
          </wp:anchor>
        </w:drawing>
      </w:r>
      <w:r>
        <w:rPr>
          <w:rFonts w:hint="eastAsia" w:ascii="楷体" w:hAnsi="楷体" w:eastAsia="楷体" w:cs="楷体"/>
          <w:b/>
          <w:bCs/>
          <w:i w:val="0"/>
          <w:caps w:val="0"/>
          <w:color w:val="auto"/>
          <w:spacing w:val="0"/>
          <w:sz w:val="32"/>
          <w:szCs w:val="32"/>
          <w:lang w:eastAsia="zh-CN"/>
        </w:rPr>
        <w:t>一是</w:t>
      </w:r>
      <w:r>
        <w:rPr>
          <w:rFonts w:hint="eastAsia" w:ascii="楷体" w:hAnsi="楷体" w:eastAsia="楷体" w:cs="楷体"/>
          <w:b w:val="0"/>
          <w:i w:val="0"/>
          <w:caps w:val="0"/>
          <w:color w:val="auto"/>
          <w:spacing w:val="0"/>
          <w:sz w:val="32"/>
          <w:szCs w:val="32"/>
          <w:lang w:eastAsia="zh-CN"/>
        </w:rPr>
        <w:t>顶层设计，强化领导。</w:t>
      </w:r>
      <w:r>
        <w:rPr>
          <w:rFonts w:hint="eastAsia" w:ascii="仿宋" w:hAnsi="仿宋" w:eastAsia="仿宋" w:cs="仿宋"/>
          <w:b w:val="0"/>
          <w:i w:val="0"/>
          <w:caps w:val="0"/>
          <w:color w:val="auto"/>
          <w:spacing w:val="0"/>
          <w:sz w:val="32"/>
          <w:szCs w:val="32"/>
          <w:lang w:eastAsia="zh-CN"/>
        </w:rPr>
        <w:t>市政府将加强政府信息与政务公开、确保权力在阳光下运行写入</w:t>
      </w:r>
      <w:r>
        <w:rPr>
          <w:rFonts w:hint="eastAsia" w:ascii="仿宋" w:hAnsi="仿宋" w:eastAsia="仿宋" w:cs="仿宋"/>
          <w:b w:val="0"/>
          <w:i w:val="0"/>
          <w:caps w:val="0"/>
          <w:color w:val="auto"/>
          <w:spacing w:val="0"/>
          <w:sz w:val="32"/>
          <w:szCs w:val="32"/>
          <w:lang w:val="en-US" w:eastAsia="zh-CN"/>
        </w:rPr>
        <w:t>2018年</w:t>
      </w:r>
      <w:r>
        <w:rPr>
          <w:rFonts w:hint="eastAsia" w:ascii="仿宋" w:hAnsi="仿宋" w:eastAsia="仿宋" w:cs="仿宋"/>
          <w:b w:val="0"/>
          <w:i w:val="0"/>
          <w:caps w:val="0"/>
          <w:color w:val="auto"/>
          <w:spacing w:val="0"/>
          <w:sz w:val="32"/>
          <w:szCs w:val="32"/>
          <w:lang w:eastAsia="zh-CN"/>
        </w:rPr>
        <w:t>政府工作报告，统一部署，统筹推进；继续明确由常务副市长分管政务公开工作并向社会公开。</w:t>
      </w:r>
      <w:r>
        <w:rPr>
          <w:rFonts w:hint="eastAsia" w:ascii="华文楷体" w:hAnsi="华文楷体" w:eastAsia="华文楷体" w:cs="华文楷体"/>
          <w:b/>
          <w:bCs/>
          <w:i w:val="0"/>
          <w:caps w:val="0"/>
          <w:color w:val="auto"/>
          <w:spacing w:val="0"/>
          <w:sz w:val="32"/>
          <w:szCs w:val="32"/>
          <w:lang w:eastAsia="zh-CN"/>
        </w:rPr>
        <w:t>二是</w:t>
      </w:r>
      <w:r>
        <w:rPr>
          <w:rFonts w:hint="eastAsia" w:ascii="华文楷体" w:hAnsi="华文楷体" w:eastAsia="华文楷体" w:cs="华文楷体"/>
          <w:b w:val="0"/>
          <w:i w:val="0"/>
          <w:caps w:val="0"/>
          <w:color w:val="auto"/>
          <w:spacing w:val="0"/>
          <w:sz w:val="32"/>
          <w:szCs w:val="32"/>
          <w:lang w:eastAsia="zh-CN"/>
        </w:rPr>
        <w:t>细化任务，强化落实。</w:t>
      </w:r>
      <w:r>
        <w:rPr>
          <w:rFonts w:hint="eastAsia" w:ascii="仿宋" w:hAnsi="仿宋" w:eastAsia="仿宋" w:cs="仿宋"/>
          <w:b w:val="0"/>
          <w:i w:val="0"/>
          <w:caps w:val="0"/>
          <w:color w:val="auto"/>
          <w:spacing w:val="0"/>
          <w:sz w:val="32"/>
          <w:szCs w:val="32"/>
          <w:lang w:eastAsia="zh-CN"/>
        </w:rPr>
        <w:t>市政府办公</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75548160" behindDoc="1" locked="0" layoutInCell="1" allowOverlap="1">
            <wp:simplePos x="0" y="0"/>
            <wp:positionH relativeFrom="column">
              <wp:posOffset>3056890</wp:posOffset>
            </wp:positionH>
            <wp:positionV relativeFrom="paragraph">
              <wp:posOffset>3181350</wp:posOffset>
            </wp:positionV>
            <wp:extent cx="2131695" cy="2776855"/>
            <wp:effectExtent l="28575" t="28575" r="30480" b="33020"/>
            <wp:wrapTight wrapText="bothSides">
              <wp:wrapPolygon>
                <wp:start x="-290" y="-222"/>
                <wp:lineTo x="-290" y="21709"/>
                <wp:lineTo x="21716" y="21709"/>
                <wp:lineTo x="21716" y="-222"/>
                <wp:lineTo x="-290" y="-222"/>
              </wp:wrapPolygon>
            </wp:wrapTight>
            <wp:docPr id="25" name="图片 25" descr="1553734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53734283(1)"/>
                    <pic:cNvPicPr>
                      <a:picLocks noChangeAspect="1"/>
                    </pic:cNvPicPr>
                  </pic:nvPicPr>
                  <pic:blipFill>
                    <a:blip r:embed="rId10"/>
                    <a:stretch>
                      <a:fillRect/>
                    </a:stretch>
                  </pic:blipFill>
                  <pic:spPr>
                    <a:xfrm>
                      <a:off x="0" y="0"/>
                      <a:ext cx="2131695" cy="2776855"/>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drawing>
          <wp:anchor distT="0" distB="0" distL="114300" distR="114300" simplePos="0" relativeHeight="275547136" behindDoc="1" locked="0" layoutInCell="1" allowOverlap="1">
            <wp:simplePos x="0" y="0"/>
            <wp:positionH relativeFrom="column">
              <wp:posOffset>48260</wp:posOffset>
            </wp:positionH>
            <wp:positionV relativeFrom="paragraph">
              <wp:posOffset>173990</wp:posOffset>
            </wp:positionV>
            <wp:extent cx="2009775" cy="2508250"/>
            <wp:effectExtent l="28575" t="9525" r="0" b="34925"/>
            <wp:wrapTight wrapText="bothSides">
              <wp:wrapPolygon>
                <wp:start x="-307" y="-246"/>
                <wp:lineTo x="-307" y="21737"/>
                <wp:lineTo x="21805" y="21737"/>
                <wp:lineTo x="21805" y="-246"/>
                <wp:lineTo x="-307" y="-246"/>
              </wp:wrapPolygon>
            </wp:wrapTight>
            <wp:docPr id="24" name="图片 24" descr="1553734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53734204(1)"/>
                    <pic:cNvPicPr>
                      <a:picLocks noChangeAspect="1"/>
                    </pic:cNvPicPr>
                  </pic:nvPicPr>
                  <pic:blipFill>
                    <a:blip r:embed="rId11"/>
                    <a:stretch>
                      <a:fillRect/>
                    </a:stretch>
                  </pic:blipFill>
                  <pic:spPr>
                    <a:xfrm>
                      <a:off x="0" y="0"/>
                      <a:ext cx="2009775" cy="250825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厅印发《当前政务公开工作主要任务分解表》（淄政办字〔2018〕118号），围绕重大部署、法治政府建设、重点领域、解读回应、办事公开、制度化规范化建设、平台建设、组织保障等八方面，明确工作要求，夯实工作责任；出台《淄博市推进重大建设项目批准和实施、公共资源配置、社会公益事业建设领域政府信息公开实施方案》</w:t>
      </w:r>
      <w:r>
        <w:rPr>
          <w:rFonts w:hint="eastAsia" w:ascii="仿宋" w:hAnsi="仿宋" w:eastAsia="仿宋" w:cs="仿宋"/>
          <w:b w:val="0"/>
          <w:i w:val="0"/>
          <w:caps w:val="0"/>
          <w:color w:val="auto"/>
          <w:spacing w:val="0"/>
          <w:sz w:val="32"/>
          <w:szCs w:val="32"/>
          <w:lang w:val="en-US" w:eastAsia="zh-CN"/>
        </w:rPr>
        <w:t>(</w:t>
      </w:r>
      <w:r>
        <w:rPr>
          <w:rFonts w:hint="eastAsia" w:ascii="仿宋" w:hAnsi="仿宋" w:eastAsia="仿宋" w:cs="仿宋"/>
          <w:b w:val="0"/>
          <w:i w:val="0"/>
          <w:caps w:val="0"/>
          <w:color w:val="auto"/>
          <w:spacing w:val="0"/>
          <w:sz w:val="32"/>
          <w:szCs w:val="32"/>
          <w:lang w:eastAsia="zh-CN"/>
        </w:rPr>
        <w:t>淄政办字〔2018〕127号</w:t>
      </w:r>
      <w:r>
        <w:rPr>
          <w:rFonts w:hint="eastAsia" w:ascii="仿宋" w:hAnsi="仿宋" w:eastAsia="仿宋" w:cs="仿宋"/>
          <w:b w:val="0"/>
          <w:i w:val="0"/>
          <w:caps w:val="0"/>
          <w:color w:val="auto"/>
          <w:spacing w:val="0"/>
          <w:sz w:val="32"/>
          <w:szCs w:val="32"/>
          <w:lang w:val="en-US" w:eastAsia="zh-CN"/>
        </w:rPr>
        <w:t>),对</w:t>
      </w:r>
      <w:r>
        <w:rPr>
          <w:rFonts w:hint="eastAsia" w:ascii="仿宋" w:hAnsi="仿宋" w:eastAsia="仿宋" w:cs="仿宋"/>
          <w:b w:val="0"/>
          <w:i w:val="0"/>
          <w:caps w:val="0"/>
          <w:color w:val="auto"/>
          <w:spacing w:val="0"/>
          <w:sz w:val="32"/>
          <w:szCs w:val="32"/>
          <w:lang w:eastAsia="zh-CN"/>
        </w:rPr>
        <w:t>重大建设项目批准和实施、公共资源配置、社会公益事业建设三大领域</w:t>
      </w:r>
      <w:r>
        <w:rPr>
          <w:rFonts w:hint="eastAsia" w:ascii="仿宋" w:hAnsi="仿宋" w:eastAsia="仿宋" w:cs="仿宋"/>
          <w:b w:val="0"/>
          <w:i w:val="0"/>
          <w:caps w:val="0"/>
          <w:color w:val="auto"/>
          <w:spacing w:val="0"/>
          <w:sz w:val="32"/>
          <w:szCs w:val="32"/>
          <w:lang w:val="en-US" w:eastAsia="zh-CN"/>
        </w:rPr>
        <w:t>细化</w:t>
      </w:r>
      <w:r>
        <w:rPr>
          <w:rFonts w:hint="eastAsia" w:ascii="仿宋" w:hAnsi="仿宋" w:eastAsia="仿宋" w:cs="仿宋"/>
          <w:b w:val="0"/>
          <w:i w:val="0"/>
          <w:caps w:val="0"/>
          <w:color w:val="auto"/>
          <w:spacing w:val="0"/>
          <w:sz w:val="32"/>
          <w:szCs w:val="32"/>
          <w:lang w:eastAsia="zh-CN"/>
        </w:rPr>
        <w:t>公开内容，落实公开主体，明确公开标准。</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（二）融合载体，拓展渠道</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eastAsia="zh-CN"/>
        </w:rPr>
        <w:t>全面完成政府网站集约化建设。建成全市统一的政府网站技术平台，实行“统一建设、统一管理、统一运维”，提升政府网站规范性和可靠性。</w:t>
      </w:r>
      <w:r>
        <w:rPr>
          <w:rFonts w:hint="eastAsia" w:ascii="仿宋" w:hAnsi="仿宋" w:eastAsia="仿宋" w:cs="仿宋"/>
          <w:b/>
          <w:bCs/>
          <w:i w:val="0"/>
          <w:caps w:val="0"/>
          <w:color w:val="auto"/>
          <w:spacing w:val="0"/>
          <w:sz w:val="32"/>
          <w:szCs w:val="32"/>
          <w:lang w:eastAsia="zh-CN"/>
        </w:rPr>
        <w:t>二是</w:t>
      </w:r>
      <w:r>
        <w:rPr>
          <w:rFonts w:hint="eastAsia" w:ascii="仿宋" w:hAnsi="仿宋" w:eastAsia="仿宋" w:cs="仿宋"/>
          <w:b w:val="0"/>
          <w:i w:val="0"/>
          <w:caps w:val="0"/>
          <w:color w:val="auto"/>
          <w:spacing w:val="0"/>
          <w:sz w:val="32"/>
          <w:szCs w:val="32"/>
          <w:lang w:eastAsia="zh-CN"/>
        </w:rPr>
        <w:t>开展政务服务类新媒体普查和规范整合。将全市共计</w:t>
      </w:r>
      <w:r>
        <w:rPr>
          <w:rFonts w:hint="eastAsia" w:ascii="仿宋" w:hAnsi="仿宋" w:eastAsia="仿宋" w:cs="仿宋"/>
          <w:b w:val="0"/>
          <w:i w:val="0"/>
          <w:caps w:val="0"/>
          <w:color w:val="auto"/>
          <w:spacing w:val="0"/>
          <w:sz w:val="32"/>
          <w:szCs w:val="32"/>
          <w:lang w:val="en-US" w:eastAsia="zh-CN"/>
        </w:rPr>
        <w:t>525个</w:t>
      </w:r>
      <w:r>
        <w:rPr>
          <w:rFonts w:hint="eastAsia" w:ascii="仿宋" w:hAnsi="仿宋" w:eastAsia="仿宋" w:cs="仿宋"/>
          <w:b w:val="0"/>
          <w:i w:val="0"/>
          <w:caps w:val="0"/>
          <w:color w:val="auto"/>
          <w:spacing w:val="0"/>
          <w:sz w:val="32"/>
          <w:szCs w:val="32"/>
          <w:lang w:eastAsia="zh-CN"/>
        </w:rPr>
        <w:t>政务服务类新媒体</w:t>
      </w:r>
      <w:r>
        <w:rPr>
          <w:rFonts w:hint="eastAsia" w:ascii="仿宋" w:hAnsi="仿宋" w:eastAsia="仿宋" w:cs="仿宋"/>
          <w:b w:val="0"/>
          <w:i w:val="0"/>
          <w:caps w:val="0"/>
          <w:color w:val="auto"/>
          <w:spacing w:val="0"/>
          <w:sz w:val="32"/>
          <w:szCs w:val="32"/>
          <w:lang w:val="en-US" w:eastAsia="zh-CN"/>
        </w:rPr>
        <w:t>列入普查整改范围，涉及全市83个单位，其中，微信公众号385个、微博98个、移动客户端32个、PC客户端10个，规范整合后的政务微博、政务微信、APP客户端通过市政府网站</w:t>
      </w:r>
    </w:p>
    <w:p>
      <w:pPr>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bCs w:val="0"/>
          <w:i w:val="0"/>
          <w:caps w:val="0"/>
          <w:color w:val="auto"/>
          <w:spacing w:val="0"/>
          <w:sz w:val="32"/>
          <w:szCs w:val="32"/>
          <w:lang w:val="en-US" w:eastAsia="zh-CN"/>
        </w:rPr>
      </w:pPr>
      <w:r>
        <w:rPr>
          <w:rFonts w:hint="eastAsia" w:ascii="仿宋" w:hAnsi="仿宋" w:eastAsia="仿宋" w:cs="仿宋"/>
          <w:b w:val="0"/>
          <w:bCs w:val="0"/>
          <w:i w:val="0"/>
          <w:caps w:val="0"/>
          <w:color w:val="auto"/>
          <w:spacing w:val="0"/>
          <w:sz w:val="32"/>
          <w:szCs w:val="32"/>
          <w:lang w:val="en-US" w:eastAsia="zh-CN"/>
        </w:rPr>
        <w:drawing>
          <wp:anchor distT="0" distB="0" distL="114300" distR="114300" simplePos="0" relativeHeight="275550208" behindDoc="1" locked="0" layoutInCell="1" allowOverlap="1">
            <wp:simplePos x="0" y="0"/>
            <wp:positionH relativeFrom="column">
              <wp:posOffset>2000250</wp:posOffset>
            </wp:positionH>
            <wp:positionV relativeFrom="paragraph">
              <wp:posOffset>3556635</wp:posOffset>
            </wp:positionV>
            <wp:extent cx="3267075" cy="3333750"/>
            <wp:effectExtent l="0" t="0" r="9525" b="0"/>
            <wp:wrapTight wrapText="bothSides">
              <wp:wrapPolygon>
                <wp:start x="0" y="0"/>
                <wp:lineTo x="0" y="21477"/>
                <wp:lineTo x="21537" y="21477"/>
                <wp:lineTo x="21537" y="0"/>
                <wp:lineTo x="0" y="0"/>
              </wp:wrapPolygon>
            </wp:wrapTight>
            <wp:docPr id="45" name="图片 45" descr="1553735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53735191(1)"/>
                    <pic:cNvPicPr>
                      <a:picLocks noChangeAspect="1"/>
                    </pic:cNvPicPr>
                  </pic:nvPicPr>
                  <pic:blipFill>
                    <a:blip r:embed="rId12"/>
                    <a:stretch>
                      <a:fillRect/>
                    </a:stretch>
                  </pic:blipFill>
                  <pic:spPr>
                    <a:xfrm>
                      <a:off x="0" y="0"/>
                      <a:ext cx="3267075" cy="3333750"/>
                    </a:xfrm>
                    <a:prstGeom prst="rect">
                      <a:avLst/>
                    </a:prstGeom>
                  </pic:spPr>
                </pic:pic>
              </a:graphicData>
            </a:graphic>
          </wp:anchor>
        </w:drawing>
      </w:r>
      <w:r>
        <w:rPr>
          <w:rFonts w:hint="eastAsia" w:ascii="仿宋" w:hAnsi="仿宋" w:eastAsia="仿宋" w:cs="仿宋"/>
          <w:b w:val="0"/>
          <w:bCs w:val="0"/>
          <w:i w:val="0"/>
          <w:caps w:val="0"/>
          <w:color w:val="auto"/>
          <w:spacing w:val="0"/>
          <w:sz w:val="32"/>
          <w:szCs w:val="32"/>
          <w:lang w:val="en-US" w:eastAsia="zh-CN"/>
        </w:rPr>
        <w:drawing>
          <wp:anchor distT="0" distB="0" distL="114300" distR="114300" simplePos="0" relativeHeight="275549184" behindDoc="1" locked="0" layoutInCell="1" allowOverlap="1">
            <wp:simplePos x="0" y="0"/>
            <wp:positionH relativeFrom="column">
              <wp:posOffset>-15240</wp:posOffset>
            </wp:positionH>
            <wp:positionV relativeFrom="paragraph">
              <wp:posOffset>155575</wp:posOffset>
            </wp:positionV>
            <wp:extent cx="3953510" cy="2807970"/>
            <wp:effectExtent l="0" t="0" r="46990" b="49530"/>
            <wp:wrapTight wrapText="bothSides">
              <wp:wrapPolygon>
                <wp:start x="0" y="0"/>
                <wp:lineTo x="0" y="21395"/>
                <wp:lineTo x="21544" y="21395"/>
                <wp:lineTo x="21544" y="0"/>
                <wp:lineTo x="0" y="0"/>
              </wp:wrapPolygon>
            </wp:wrapTight>
            <wp:docPr id="28" name="图片 28" descr="1553735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53735154(1)"/>
                    <pic:cNvPicPr>
                      <a:picLocks noChangeAspect="1"/>
                    </pic:cNvPicPr>
                  </pic:nvPicPr>
                  <pic:blipFill>
                    <a:blip r:embed="rId13"/>
                    <a:stretch>
                      <a:fillRect/>
                    </a:stretch>
                  </pic:blipFill>
                  <pic:spPr>
                    <a:xfrm>
                      <a:off x="0" y="0"/>
                      <a:ext cx="3953510" cy="2807970"/>
                    </a:xfrm>
                    <a:prstGeom prst="rect">
                      <a:avLst/>
                    </a:prstGeom>
                  </pic:spPr>
                </pic:pic>
              </a:graphicData>
            </a:graphic>
          </wp:anchor>
        </w:drawing>
      </w:r>
      <w:r>
        <w:rPr>
          <w:rFonts w:hint="eastAsia" w:ascii="仿宋" w:hAnsi="仿宋" w:eastAsia="仿宋" w:cs="仿宋"/>
          <w:b w:val="0"/>
          <w:i w:val="0"/>
          <w:caps w:val="0"/>
          <w:color w:val="auto"/>
          <w:spacing w:val="0"/>
          <w:sz w:val="32"/>
          <w:szCs w:val="32"/>
          <w:lang w:val="en-US" w:eastAsia="zh-CN"/>
        </w:rPr>
        <w:t>集中公开，方便群众使用。</w:t>
      </w:r>
      <w:r>
        <w:rPr>
          <w:rFonts w:hint="eastAsia" w:ascii="仿宋" w:hAnsi="仿宋" w:eastAsia="仿宋" w:cs="仿宋"/>
          <w:b/>
          <w:bCs/>
          <w:i w:val="0"/>
          <w:caps w:val="0"/>
          <w:color w:val="auto"/>
          <w:spacing w:val="0"/>
          <w:sz w:val="32"/>
          <w:szCs w:val="32"/>
          <w:lang w:val="en-US" w:eastAsia="zh-CN"/>
        </w:rPr>
        <w:t>三是</w:t>
      </w:r>
      <w:r>
        <w:rPr>
          <w:rFonts w:hint="eastAsia" w:ascii="仿宋" w:hAnsi="仿宋" w:eastAsia="仿宋" w:cs="仿宋"/>
          <w:b w:val="0"/>
          <w:bCs w:val="0"/>
          <w:i w:val="0"/>
          <w:caps w:val="0"/>
          <w:color w:val="auto"/>
          <w:spacing w:val="0"/>
          <w:sz w:val="32"/>
          <w:szCs w:val="32"/>
          <w:lang w:val="en-US" w:eastAsia="zh-CN"/>
        </w:rPr>
        <w:t>通过新闻发布会发布信息、解读政策。2018年市政府新闻办召开新闻发布会25场，市直部门召开新闻发布会14场，发布内容均通过淄博市新闻网“权威发布”专栏予以公开，及时准确传递权威政府信息和政策意图。</w:t>
      </w:r>
      <w:r>
        <w:rPr>
          <w:rFonts w:hint="eastAsia" w:ascii="仿宋" w:hAnsi="仿宋" w:eastAsia="仿宋" w:cs="仿宋"/>
          <w:b/>
          <w:bCs/>
          <w:i w:val="0"/>
          <w:caps w:val="0"/>
          <w:color w:val="auto"/>
          <w:spacing w:val="0"/>
          <w:sz w:val="32"/>
          <w:szCs w:val="32"/>
          <w:lang w:val="en-US" w:eastAsia="zh-CN"/>
        </w:rPr>
        <w:t>四是</w:t>
      </w:r>
      <w:r>
        <w:rPr>
          <w:rFonts w:hint="eastAsia" w:ascii="仿宋" w:hAnsi="仿宋" w:eastAsia="仿宋" w:cs="仿宋"/>
          <w:b w:val="0"/>
          <w:bCs w:val="0"/>
          <w:i w:val="0"/>
          <w:caps w:val="0"/>
          <w:color w:val="auto"/>
          <w:spacing w:val="0"/>
          <w:sz w:val="32"/>
          <w:szCs w:val="32"/>
          <w:lang w:val="en-US" w:eastAsia="zh-CN"/>
        </w:rPr>
        <w:t>整合政务服务热线。2018年通过横向整合、纵向对接，原分散在市政府部门、单位的19条热线整体并入12345政务服务热线，且与政务服务平台互通联动，提供全天侯24小时人工服务，实现受理人员根据知识库信息直接答复一般政策咨询类事项。</w:t>
      </w:r>
      <w:r>
        <w:rPr>
          <w:rFonts w:hint="eastAsia" w:ascii="仿宋" w:hAnsi="仿宋" w:eastAsia="仿宋" w:cs="仿宋"/>
          <w:b/>
          <w:bCs/>
          <w:i w:val="0"/>
          <w:caps w:val="0"/>
          <w:color w:val="auto"/>
          <w:spacing w:val="0"/>
          <w:sz w:val="32"/>
          <w:szCs w:val="32"/>
          <w:lang w:val="en-US" w:eastAsia="zh-CN"/>
        </w:rPr>
        <w:t>五是</w:t>
      </w:r>
      <w:r>
        <w:rPr>
          <w:rFonts w:hint="eastAsia" w:ascii="仿宋" w:hAnsi="仿宋" w:eastAsia="仿宋" w:cs="仿宋"/>
          <w:b w:val="0"/>
          <w:bCs w:val="0"/>
          <w:i w:val="0"/>
          <w:caps w:val="0"/>
          <w:color w:val="auto"/>
          <w:spacing w:val="0"/>
          <w:sz w:val="32"/>
          <w:szCs w:val="32"/>
          <w:lang w:val="en-US" w:eastAsia="zh-CN"/>
        </w:rPr>
        <w:t>持续加强政府公报出版发行工作。按照《国务院办公厅关于做好政府公报工作的通</w:t>
      </w:r>
    </w:p>
    <w:p>
      <w:pPr>
        <w:rPr>
          <w:rFonts w:hint="eastAsia" w:ascii="仿宋" w:hAnsi="仿宋" w:eastAsia="仿宋" w:cs="仿宋"/>
          <w:b w:val="0"/>
          <w:bCs w:val="0"/>
          <w:i w:val="0"/>
          <w:caps w:val="0"/>
          <w:color w:val="auto"/>
          <w:spacing w:val="0"/>
          <w:sz w:val="32"/>
          <w:szCs w:val="32"/>
          <w:lang w:val="en-US" w:eastAsia="zh-CN"/>
        </w:rPr>
      </w:pPr>
      <w:r>
        <w:rPr>
          <w:rFonts w:hint="eastAsia" w:ascii="仿宋" w:hAnsi="仿宋" w:eastAsia="仿宋" w:cs="仿宋"/>
          <w:b w:val="0"/>
          <w:bCs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bCs w:val="0"/>
          <w:i w:val="0"/>
          <w:caps w:val="0"/>
          <w:color w:val="auto"/>
          <w:spacing w:val="0"/>
          <w:sz w:val="32"/>
          <w:szCs w:val="32"/>
          <w:lang w:val="en-US" w:eastAsia="zh-CN"/>
        </w:rPr>
      </w:pPr>
      <w:r>
        <w:rPr>
          <w:rFonts w:hint="eastAsia" w:ascii="仿宋" w:hAnsi="仿宋" w:eastAsia="仿宋" w:cs="仿宋"/>
          <w:b w:val="0"/>
          <w:bCs w:val="0"/>
          <w:i w:val="0"/>
          <w:caps w:val="0"/>
          <w:color w:val="auto"/>
          <w:spacing w:val="0"/>
          <w:sz w:val="32"/>
          <w:szCs w:val="32"/>
          <w:lang w:val="en-US" w:eastAsia="zh-CN"/>
        </w:rPr>
        <w:drawing>
          <wp:anchor distT="0" distB="0" distL="114300" distR="114300" simplePos="0" relativeHeight="275551232" behindDoc="1" locked="0" layoutInCell="1" allowOverlap="1">
            <wp:simplePos x="0" y="0"/>
            <wp:positionH relativeFrom="column">
              <wp:posOffset>352425</wp:posOffset>
            </wp:positionH>
            <wp:positionV relativeFrom="paragraph">
              <wp:posOffset>584200</wp:posOffset>
            </wp:positionV>
            <wp:extent cx="2586990" cy="3097530"/>
            <wp:effectExtent l="28575" t="28575" r="36195" b="32385"/>
            <wp:wrapTight wrapText="bothSides">
              <wp:wrapPolygon>
                <wp:start x="21839" y="-199"/>
                <wp:lineTo x="-111" y="-199"/>
                <wp:lineTo x="-111" y="21720"/>
                <wp:lineTo x="21839" y="21720"/>
                <wp:lineTo x="21839" y="-199"/>
              </wp:wrapPolygon>
            </wp:wrapTight>
            <wp:docPr id="49" name="图片 49" descr="7d9f6c7454d272ea9ea8e252da4f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d9f6c7454d272ea9ea8e252da4f7db"/>
                    <pic:cNvPicPr>
                      <a:picLocks noChangeAspect="1"/>
                    </pic:cNvPicPr>
                  </pic:nvPicPr>
                  <pic:blipFill>
                    <a:blip r:embed="rId14"/>
                    <a:stretch>
                      <a:fillRect/>
                    </a:stretch>
                  </pic:blipFill>
                  <pic:spPr>
                    <a:xfrm rot="16200000">
                      <a:off x="0" y="0"/>
                      <a:ext cx="2586990" cy="309753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bCs w:val="0"/>
          <w:i w:val="0"/>
          <w:caps w:val="0"/>
          <w:color w:val="auto"/>
          <w:spacing w:val="0"/>
          <w:sz w:val="32"/>
          <w:szCs w:val="32"/>
          <w:lang w:val="en-US" w:eastAsia="zh-CN"/>
        </w:rPr>
        <w:t>知》（国办发〔2018〕22号）要求，着力将市政府公报打造成权威、规范、便民的政务公开平台，及时刊发市政府制定的规章和规范性文件，为公众查阅、司法审判等提供有效的政府文件标准文本。2018年《淄博市人民政府公报》出刊15期，每期发行4450份，赠阅范围覆盖全市各级党政机关、厂矿企业、学校医院和居民社区，同时在市政府网站设立“政府公报”专栏，2008年以来政府公报电子版全部通过专栏公开，方便公众查阅下载和保存。</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（三）强化监督，考核问效</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val="en-US" w:eastAsia="zh-CN"/>
        </w:rPr>
        <w:t>充分发挥考核“指挥棒”作用。</w:t>
      </w:r>
      <w:r>
        <w:rPr>
          <w:rFonts w:hint="eastAsia" w:ascii="仿宋" w:hAnsi="仿宋" w:eastAsia="仿宋" w:cs="仿宋"/>
          <w:b w:val="0"/>
          <w:i w:val="0"/>
          <w:caps w:val="0"/>
          <w:color w:val="auto"/>
          <w:spacing w:val="0"/>
          <w:sz w:val="32"/>
          <w:szCs w:val="32"/>
          <w:lang w:eastAsia="zh-CN"/>
        </w:rPr>
        <w:t>年初对上年全市政务公开工作实施了考核，计入全市经济和社会发展综合考核成绩，引导各级各部门重视做好政务公开工作。二</w:t>
      </w:r>
      <w:r>
        <w:rPr>
          <w:rFonts w:hint="eastAsia" w:ascii="仿宋" w:hAnsi="仿宋" w:eastAsia="仿宋" w:cs="仿宋"/>
          <w:b/>
          <w:bCs/>
          <w:i w:val="0"/>
          <w:caps w:val="0"/>
          <w:color w:val="auto"/>
          <w:spacing w:val="0"/>
          <w:sz w:val="32"/>
          <w:szCs w:val="32"/>
          <w:lang w:eastAsia="zh-CN"/>
        </w:rPr>
        <w:t>是</w:t>
      </w:r>
      <w:r>
        <w:rPr>
          <w:rFonts w:hint="eastAsia" w:ascii="仿宋" w:hAnsi="仿宋" w:eastAsia="仿宋" w:cs="仿宋"/>
          <w:b w:val="0"/>
          <w:i w:val="0"/>
          <w:caps w:val="0"/>
          <w:color w:val="auto"/>
          <w:spacing w:val="0"/>
          <w:sz w:val="32"/>
          <w:szCs w:val="32"/>
          <w:lang w:eastAsia="zh-CN"/>
        </w:rPr>
        <w:t>开展第三方评估。通过政府购买服务由第三方机构对全市政务公开工作情况开展独立自主评估，评估报告向社会公开，评估成绩计入全市政务公开考核成绩，评估问题清单逐一反馈被评估单位予以整改。</w:t>
      </w:r>
      <w:r>
        <w:rPr>
          <w:rFonts w:hint="eastAsia" w:ascii="仿宋" w:hAnsi="仿宋" w:eastAsia="仿宋" w:cs="仿宋"/>
          <w:b/>
          <w:bCs/>
          <w:i w:val="0"/>
          <w:caps w:val="0"/>
          <w:color w:val="auto"/>
          <w:spacing w:val="0"/>
          <w:sz w:val="32"/>
          <w:szCs w:val="32"/>
          <w:lang w:val="en-US" w:eastAsia="zh-CN"/>
        </w:rPr>
        <w:t>三是</w:t>
      </w:r>
      <w:r>
        <w:rPr>
          <w:rFonts w:hint="eastAsia" w:ascii="仿宋" w:hAnsi="仿宋" w:eastAsia="仿宋" w:cs="仿宋"/>
          <w:b w:val="0"/>
          <w:i w:val="0"/>
          <w:caps w:val="0"/>
          <w:color w:val="auto"/>
          <w:spacing w:val="0"/>
          <w:sz w:val="32"/>
          <w:szCs w:val="32"/>
          <w:lang w:val="en-US" w:eastAsia="zh-CN"/>
        </w:rPr>
        <w:t>加大考核力度。将</w:t>
      </w:r>
      <w:r>
        <w:rPr>
          <w:rFonts w:hint="eastAsia" w:ascii="仿宋" w:hAnsi="仿宋" w:eastAsia="仿宋" w:cs="仿宋"/>
          <w:b w:val="0"/>
          <w:i w:val="0"/>
          <w:caps w:val="0"/>
          <w:color w:val="auto"/>
          <w:spacing w:val="0"/>
          <w:sz w:val="32"/>
          <w:szCs w:val="32"/>
          <w:lang w:eastAsia="zh-CN"/>
        </w:rPr>
        <w:t>政务公开工作继续纳入</w:t>
      </w:r>
      <w:r>
        <w:rPr>
          <w:rFonts w:hint="eastAsia" w:ascii="仿宋" w:hAnsi="仿宋" w:eastAsia="仿宋" w:cs="仿宋"/>
          <w:b w:val="0"/>
          <w:i w:val="0"/>
          <w:caps w:val="0"/>
          <w:color w:val="auto"/>
          <w:spacing w:val="0"/>
          <w:sz w:val="32"/>
          <w:szCs w:val="32"/>
          <w:lang w:val="en-US" w:eastAsia="zh-CN"/>
        </w:rPr>
        <w:t>2018年度</w:t>
      </w:r>
      <w:r>
        <w:rPr>
          <w:rFonts w:hint="eastAsia" w:ascii="仿宋" w:hAnsi="仿宋" w:eastAsia="仿宋" w:cs="仿宋"/>
          <w:b w:val="0"/>
          <w:i w:val="0"/>
          <w:caps w:val="0"/>
          <w:color w:val="auto"/>
          <w:spacing w:val="0"/>
          <w:sz w:val="32"/>
          <w:szCs w:val="32"/>
          <w:lang w:eastAsia="zh-CN"/>
        </w:rPr>
        <w:t>市对区县经济社会发展综合考核和对市政府部门单位绩效考核，由定性考核改为定量考核，专门制发《关</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75656704" behindDoc="1" locked="0" layoutInCell="1" allowOverlap="1">
            <wp:simplePos x="0" y="0"/>
            <wp:positionH relativeFrom="column">
              <wp:posOffset>-43815</wp:posOffset>
            </wp:positionH>
            <wp:positionV relativeFrom="paragraph">
              <wp:posOffset>139065</wp:posOffset>
            </wp:positionV>
            <wp:extent cx="2503805" cy="3347085"/>
            <wp:effectExtent l="28575" t="9525" r="39370" b="34290"/>
            <wp:wrapTight wrapText="bothSides">
              <wp:wrapPolygon>
                <wp:start x="-247" y="-184"/>
                <wp:lineTo x="-247" y="21698"/>
                <wp:lineTo x="21611" y="21698"/>
                <wp:lineTo x="21611" y="-184"/>
                <wp:lineTo x="-247" y="-184"/>
              </wp:wrapPolygon>
            </wp:wrapTight>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2503805" cy="3347085"/>
                    </a:xfrm>
                    <a:prstGeom prst="rect">
                      <a:avLst/>
                    </a:prstGeom>
                    <a:noFill/>
                    <a:ln w="28575" cap="flat" cmpd="thickThin">
                      <a:solidFill>
                        <a:schemeClr val="accent1">
                          <a:shade val="50000"/>
                        </a:schemeClr>
                      </a:solidFill>
                      <a:prstDash val="solid"/>
                      <a:miter/>
                      <a:headEnd type="none" w="med" len="med"/>
                      <a:tailEnd type="none" w="med" len="med"/>
                    </a:ln>
                  </pic:spPr>
                </pic:pic>
              </a:graphicData>
            </a:graphic>
          </wp:anchor>
        </w:drawing>
      </w:r>
      <w:r>
        <w:rPr>
          <w:rFonts w:hint="eastAsia" w:ascii="仿宋" w:hAnsi="仿宋" w:eastAsia="仿宋" w:cs="仿宋"/>
          <w:b w:val="0"/>
          <w:i w:val="0"/>
          <w:caps w:val="0"/>
          <w:color w:val="auto"/>
          <w:spacing w:val="0"/>
          <w:sz w:val="32"/>
          <w:szCs w:val="32"/>
          <w:lang w:eastAsia="zh-CN"/>
        </w:rPr>
        <w:t>于</w:t>
      </w:r>
      <w:r>
        <w:rPr>
          <w:rFonts w:hint="eastAsia" w:ascii="仿宋" w:hAnsi="仿宋" w:eastAsia="仿宋" w:cs="仿宋"/>
          <w:b w:val="0"/>
          <w:i w:val="0"/>
          <w:caps w:val="0"/>
          <w:color w:val="auto"/>
          <w:spacing w:val="0"/>
          <w:sz w:val="32"/>
          <w:szCs w:val="32"/>
          <w:lang w:val="en-US" w:eastAsia="zh-CN"/>
        </w:rPr>
        <w:t>2018年淄博市政务公开工作评估考核有关事项的通知</w:t>
      </w:r>
      <w:r>
        <w:rPr>
          <w:rFonts w:hint="eastAsia" w:ascii="仿宋" w:hAnsi="仿宋" w:eastAsia="仿宋" w:cs="仿宋"/>
          <w:b w:val="0"/>
          <w:i w:val="0"/>
          <w:caps w:val="0"/>
          <w:color w:val="auto"/>
          <w:spacing w:val="0"/>
          <w:sz w:val="32"/>
          <w:szCs w:val="32"/>
          <w:lang w:eastAsia="zh-CN"/>
        </w:rPr>
        <w:t>》（淄政办发明电〔</w:t>
      </w:r>
      <w:r>
        <w:rPr>
          <w:rFonts w:hint="eastAsia" w:ascii="仿宋" w:hAnsi="仿宋" w:eastAsia="仿宋" w:cs="仿宋"/>
          <w:b w:val="0"/>
          <w:i w:val="0"/>
          <w:caps w:val="0"/>
          <w:color w:val="auto"/>
          <w:spacing w:val="0"/>
          <w:sz w:val="32"/>
          <w:szCs w:val="32"/>
          <w:lang w:val="en-US" w:eastAsia="zh-CN"/>
        </w:rPr>
        <w:t>2018〕53号</w:t>
      </w:r>
      <w:r>
        <w:rPr>
          <w:rFonts w:hint="eastAsia" w:ascii="仿宋" w:hAnsi="仿宋" w:eastAsia="仿宋" w:cs="仿宋"/>
          <w:b w:val="0"/>
          <w:i w:val="0"/>
          <w:caps w:val="0"/>
          <w:color w:val="auto"/>
          <w:spacing w:val="0"/>
          <w:sz w:val="32"/>
          <w:szCs w:val="32"/>
          <w:lang w:eastAsia="zh-CN"/>
        </w:rPr>
        <w:t>）予以部署落实。</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（四）探索创新，开展试点</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76238336" behindDoc="1" locked="0" layoutInCell="1" allowOverlap="1">
            <wp:simplePos x="0" y="0"/>
            <wp:positionH relativeFrom="column">
              <wp:posOffset>-2510790</wp:posOffset>
            </wp:positionH>
            <wp:positionV relativeFrom="paragraph">
              <wp:posOffset>3947160</wp:posOffset>
            </wp:positionV>
            <wp:extent cx="3660775" cy="2246630"/>
            <wp:effectExtent l="28575" t="28575" r="0" b="0"/>
            <wp:wrapTight wrapText="bothSides">
              <wp:wrapPolygon>
                <wp:start x="-169" y="-275"/>
                <wp:lineTo x="-169" y="21704"/>
                <wp:lineTo x="21637" y="21704"/>
                <wp:lineTo x="21637" y="-275"/>
                <wp:lineTo x="-169" y="-275"/>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3660775" cy="2246630"/>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75880960" behindDoc="1" locked="0" layoutInCell="1" allowOverlap="1">
            <wp:simplePos x="0" y="0"/>
            <wp:positionH relativeFrom="column">
              <wp:posOffset>-120650</wp:posOffset>
            </wp:positionH>
            <wp:positionV relativeFrom="paragraph">
              <wp:posOffset>1621155</wp:posOffset>
            </wp:positionV>
            <wp:extent cx="2787650" cy="1859915"/>
            <wp:effectExtent l="28575" t="9525" r="41275" b="35560"/>
            <wp:wrapTight wrapText="bothSides">
              <wp:wrapPolygon>
                <wp:start x="-221" y="-332"/>
                <wp:lineTo x="-221" y="21792"/>
                <wp:lineTo x="21625" y="21792"/>
                <wp:lineTo x="21625" y="-332"/>
                <wp:lineTo x="-221" y="-332"/>
              </wp:wrapPolygon>
            </wp:wrapTight>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2787650" cy="185991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2018年，张店、临淄两区被列为</w:t>
      </w:r>
      <w:r>
        <w:rPr>
          <w:rFonts w:hint="eastAsia" w:ascii="仿宋" w:hAnsi="仿宋" w:eastAsia="仿宋" w:cs="仿宋"/>
          <w:b w:val="0"/>
          <w:i w:val="0"/>
          <w:caps w:val="0"/>
          <w:color w:val="auto"/>
          <w:spacing w:val="0"/>
          <w:sz w:val="32"/>
          <w:szCs w:val="32"/>
          <w:lang w:eastAsia="zh-CN"/>
        </w:rPr>
        <w:t>省级基层政务公开标准化规范化试点，承担重大项目建设、公共资源交易、财政预决算、公共文化服务、公共法律服务5个领域的试点任务。两区均成立试点工作领导小组，组建试点工作机构，安排试点专项经费，制定试点实施方案，张店区各试点领域均绘制了公开工作流程图，临淄区编制了《临淄区基层政务公开标准化规范化试点工作手册》，两</w:t>
      </w:r>
      <w:r>
        <w:rPr>
          <w:rFonts w:hint="eastAsia" w:ascii="仿宋" w:hAnsi="仿宋" w:eastAsia="仿宋" w:cs="仿宋"/>
          <w:b w:val="0"/>
          <w:i w:val="0"/>
          <w:caps w:val="0"/>
          <w:color w:val="auto"/>
          <w:spacing w:val="0"/>
          <w:sz w:val="32"/>
          <w:szCs w:val="32"/>
          <w:lang w:val="en-US" w:eastAsia="zh-CN"/>
        </w:rPr>
        <w:t>区</w:t>
      </w:r>
      <w:r>
        <w:rPr>
          <w:rFonts w:hint="eastAsia" w:ascii="仿宋" w:hAnsi="仿宋" w:eastAsia="仿宋" w:cs="仿宋"/>
          <w:b w:val="0"/>
          <w:i w:val="0"/>
          <w:caps w:val="0"/>
          <w:color w:val="auto"/>
          <w:spacing w:val="0"/>
          <w:sz w:val="32"/>
          <w:szCs w:val="32"/>
          <w:lang w:eastAsia="zh-CN"/>
        </w:rPr>
        <w:t>试点工作扎实开展，顺利通过省、市验收。</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w:t>
      </w:r>
      <w:r>
        <w:rPr>
          <w:rFonts w:hint="eastAsia" w:ascii="仿宋" w:hAnsi="仿宋" w:eastAsia="仿宋" w:cs="仿宋"/>
          <w:b/>
          <w:bCs/>
          <w:color w:val="auto"/>
          <w:sz w:val="32"/>
          <w:szCs w:val="32"/>
          <w:lang w:eastAsia="zh-CN"/>
        </w:rPr>
        <w:t>五）整合资源</w:t>
      </w:r>
      <w:r>
        <w:rPr>
          <w:rFonts w:hint="eastAsia" w:ascii="仿宋" w:hAnsi="仿宋" w:eastAsia="仿宋" w:cs="仿宋"/>
          <w:b/>
          <w:bCs/>
          <w:color w:val="auto"/>
          <w:sz w:val="32"/>
          <w:szCs w:val="32"/>
        </w:rPr>
        <w:t>,</w:t>
      </w:r>
      <w:r>
        <w:rPr>
          <w:rFonts w:hint="eastAsia" w:ascii="仿宋" w:hAnsi="仿宋" w:eastAsia="仿宋" w:cs="仿宋"/>
          <w:b/>
          <w:bCs/>
          <w:color w:val="auto"/>
          <w:sz w:val="32"/>
          <w:szCs w:val="32"/>
          <w:lang w:eastAsia="zh-CN"/>
        </w:rPr>
        <w:t>开放数据</w:t>
      </w:r>
    </w:p>
    <w:p>
      <w:pPr>
        <w:keepNext w:val="0"/>
        <w:keepLines w:val="0"/>
        <w:pageBreakBefore w:val="0"/>
        <w:widowControl w:val="0"/>
        <w:kinsoku/>
        <w:wordWrap/>
        <w:overflowPunct/>
        <w:topLinePunct w:val="0"/>
        <w:autoSpaceDE/>
        <w:autoSpaceDN/>
        <w:bidi w:val="0"/>
        <w:adjustRightInd/>
        <w:snapToGrid/>
        <w:ind w:firstLine="840" w:firstLineChars="400"/>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76744192" behindDoc="1" locked="0" layoutInCell="1" allowOverlap="1">
            <wp:simplePos x="0" y="0"/>
            <wp:positionH relativeFrom="column">
              <wp:posOffset>33655</wp:posOffset>
            </wp:positionH>
            <wp:positionV relativeFrom="paragraph">
              <wp:posOffset>503555</wp:posOffset>
            </wp:positionV>
            <wp:extent cx="3524250" cy="2242185"/>
            <wp:effectExtent l="28575" t="28575" r="85725" b="91440"/>
            <wp:wrapTight wrapText="bothSides">
              <wp:wrapPolygon>
                <wp:start x="-175" y="-275"/>
                <wp:lineTo x="-175" y="21747"/>
                <wp:lineTo x="21658" y="21747"/>
                <wp:lineTo x="21658" y="-275"/>
                <wp:lineTo x="-175" y="-275"/>
              </wp:wrapPolygon>
            </wp:wrapTight>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3524250" cy="224218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在</w:t>
      </w:r>
      <w:r>
        <w:rPr>
          <w:rFonts w:hint="eastAsia" w:ascii="仿宋" w:hAnsi="仿宋" w:eastAsia="仿宋" w:cs="仿宋"/>
          <w:color w:val="auto"/>
          <w:sz w:val="32"/>
          <w:szCs w:val="32"/>
        </w:rPr>
        <w:t>《淄博市政务信息资源共享管理暂行办法》</w:t>
      </w:r>
      <w:r>
        <w:rPr>
          <w:rFonts w:hint="eastAsia" w:ascii="仿宋" w:hAnsi="仿宋" w:eastAsia="仿宋" w:cs="仿宋"/>
          <w:color w:val="auto"/>
          <w:sz w:val="32"/>
          <w:szCs w:val="32"/>
          <w:lang w:eastAsia="zh-CN"/>
        </w:rPr>
        <w:t>基础上，</w:t>
      </w:r>
      <w:r>
        <w:rPr>
          <w:rFonts w:hint="eastAsia" w:ascii="仿宋" w:hAnsi="仿宋" w:eastAsia="仿宋" w:cs="仿宋"/>
          <w:b w:val="0"/>
          <w:i w:val="0"/>
          <w:caps w:val="0"/>
          <w:color w:val="auto"/>
          <w:spacing w:val="0"/>
          <w:sz w:val="32"/>
          <w:szCs w:val="32"/>
          <w:lang w:eastAsia="zh-CN"/>
        </w:rPr>
        <w:t>印发《关于加快推进全市政务信息资源共享和公共数据资源开放有关事宜的通知》和《关于加快推进政务信息资源体系建设有关工作的通知》等文件，对公共数据资源开放工作持续加以推进，完成了数据开放的渠道整合，建成了公共数据管理平台，编制了《淄博市公共数据开放清单》。截至</w:t>
      </w:r>
      <w:r>
        <w:rPr>
          <w:rFonts w:hint="eastAsia" w:ascii="仿宋" w:hAnsi="仿宋" w:eastAsia="仿宋" w:cs="仿宋"/>
          <w:b w:val="0"/>
          <w:i w:val="0"/>
          <w:caps w:val="0"/>
          <w:color w:val="auto"/>
          <w:spacing w:val="0"/>
          <w:sz w:val="32"/>
          <w:szCs w:val="32"/>
          <w:lang w:val="en-US" w:eastAsia="zh-CN"/>
        </w:rPr>
        <w:t>2018年底</w:t>
      </w:r>
      <w:r>
        <w:rPr>
          <w:rFonts w:hint="eastAsia" w:ascii="仿宋" w:hAnsi="仿宋" w:eastAsia="仿宋" w:cs="仿宋"/>
          <w:b w:val="0"/>
          <w:i w:val="0"/>
          <w:caps w:val="0"/>
          <w:color w:val="auto"/>
          <w:spacing w:val="0"/>
          <w:sz w:val="32"/>
          <w:szCs w:val="32"/>
          <w:lang w:eastAsia="zh-CN"/>
        </w:rPr>
        <w:t>，淄博市公共数据开放网共建设17</w:t>
      </w:r>
      <w:r>
        <w:rPr>
          <w:rFonts w:hint="eastAsia" w:ascii="仿宋" w:hAnsi="仿宋" w:eastAsia="仿宋" w:cs="仿宋"/>
          <w:b w:val="0"/>
          <w:i w:val="0"/>
          <w:caps w:val="0"/>
          <w:color w:val="auto"/>
          <w:spacing w:val="0"/>
          <w:sz w:val="32"/>
          <w:szCs w:val="32"/>
          <w:lang w:val="en-US" w:eastAsia="zh-CN"/>
        </w:rPr>
        <w:t>6</w:t>
      </w:r>
      <w:r>
        <w:rPr>
          <w:rFonts w:hint="eastAsia" w:ascii="仿宋" w:hAnsi="仿宋" w:eastAsia="仿宋" w:cs="仿宋"/>
          <w:b w:val="0"/>
          <w:i w:val="0"/>
          <w:caps w:val="0"/>
          <w:color w:val="auto"/>
          <w:spacing w:val="0"/>
          <w:sz w:val="32"/>
          <w:szCs w:val="32"/>
          <w:lang w:eastAsia="zh-CN"/>
        </w:rPr>
        <w:t>7个开放目录，开放数据</w:t>
      </w:r>
      <w:r>
        <w:rPr>
          <w:rFonts w:hint="eastAsia" w:ascii="仿宋" w:hAnsi="仿宋" w:eastAsia="仿宋" w:cs="仿宋"/>
          <w:b w:val="0"/>
          <w:i w:val="0"/>
          <w:caps w:val="0"/>
          <w:color w:val="auto"/>
          <w:spacing w:val="0"/>
          <w:sz w:val="32"/>
          <w:szCs w:val="32"/>
          <w:lang w:val="en-US" w:eastAsia="zh-CN"/>
        </w:rPr>
        <w:t>2747867</w:t>
      </w:r>
      <w:r>
        <w:rPr>
          <w:rFonts w:hint="eastAsia" w:ascii="仿宋" w:hAnsi="仿宋" w:eastAsia="仿宋" w:cs="仿宋"/>
          <w:b w:val="0"/>
          <w:i w:val="0"/>
          <w:caps w:val="0"/>
          <w:color w:val="auto"/>
          <w:spacing w:val="0"/>
          <w:sz w:val="32"/>
          <w:szCs w:val="32"/>
          <w:lang w:eastAsia="zh-CN"/>
        </w:rPr>
        <w:t>条。</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（六）强化培训，提升能力</w:t>
      </w:r>
    </w:p>
    <w:p>
      <w:pPr>
        <w:keepNext w:val="0"/>
        <w:keepLines w:val="0"/>
        <w:pageBreakBefore w:val="0"/>
        <w:widowControl w:val="0"/>
        <w:kinsoku/>
        <w:wordWrap/>
        <w:overflowPunct/>
        <w:topLinePunct w:val="0"/>
        <w:autoSpaceDE/>
        <w:autoSpaceDN/>
        <w:bidi w:val="0"/>
        <w:adjustRightInd/>
        <w:snapToGrid/>
        <w:ind w:firstLine="630" w:firstLineChars="300"/>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77414912" behindDoc="1" locked="0" layoutInCell="1" allowOverlap="1">
            <wp:simplePos x="0" y="0"/>
            <wp:positionH relativeFrom="column">
              <wp:posOffset>1302385</wp:posOffset>
            </wp:positionH>
            <wp:positionV relativeFrom="paragraph">
              <wp:posOffset>120015</wp:posOffset>
            </wp:positionV>
            <wp:extent cx="3893820" cy="2484755"/>
            <wp:effectExtent l="28575" t="28575" r="40005" b="39370"/>
            <wp:wrapTight wrapText="bothSides">
              <wp:wrapPolygon>
                <wp:start x="-159" y="-248"/>
                <wp:lineTo x="-159" y="21611"/>
                <wp:lineTo x="21611" y="21611"/>
                <wp:lineTo x="21611" y="-248"/>
                <wp:lineTo x="-159" y="-248"/>
              </wp:wrapPolygon>
            </wp:wrapTight>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9"/>
                    <a:stretch>
                      <a:fillRect/>
                    </a:stretch>
                  </pic:blipFill>
                  <pic:spPr>
                    <a:xfrm>
                      <a:off x="0" y="0"/>
                      <a:ext cx="3893820" cy="248475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积极推进公开业务培训制度化、常态化，切实提升公开工作水平。</w:t>
      </w:r>
      <w:r>
        <w:rPr>
          <w:rFonts w:hint="eastAsia" w:ascii="仿宋" w:hAnsi="仿宋" w:eastAsia="仿宋" w:cs="仿宋"/>
          <w:b w:val="0"/>
          <w:i w:val="0"/>
          <w:caps w:val="0"/>
          <w:color w:val="auto"/>
          <w:spacing w:val="0"/>
          <w:sz w:val="32"/>
          <w:szCs w:val="32"/>
          <w:lang w:val="en-US" w:eastAsia="zh-CN"/>
        </w:rPr>
        <w:t>2018年市政务公开工作主管部门—市政府办公室举办全市</w:t>
      </w:r>
      <w:r>
        <w:rPr>
          <w:rFonts w:hint="eastAsia" w:ascii="仿宋" w:hAnsi="仿宋" w:eastAsia="仿宋" w:cs="仿宋"/>
          <w:b w:val="0"/>
          <w:i w:val="0"/>
          <w:caps w:val="0"/>
          <w:color w:val="auto"/>
          <w:spacing w:val="0"/>
          <w:sz w:val="32"/>
          <w:szCs w:val="32"/>
          <w:lang w:eastAsia="zh-CN"/>
        </w:rPr>
        <w:t>政务公开工作培</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eastAsia="zh-CN"/>
        </w:rPr>
        <w:t>训会议</w:t>
      </w:r>
      <w:r>
        <w:rPr>
          <w:rFonts w:hint="eastAsia" w:ascii="仿宋" w:hAnsi="仿宋" w:eastAsia="仿宋" w:cs="仿宋"/>
          <w:b w:val="0"/>
          <w:i w:val="0"/>
          <w:caps w:val="0"/>
          <w:color w:val="auto"/>
          <w:spacing w:val="0"/>
          <w:sz w:val="32"/>
          <w:szCs w:val="32"/>
          <w:lang w:val="en-US" w:eastAsia="zh-CN"/>
        </w:rPr>
        <w:t>2次， 共计培训区县政府办公室分管负责人和政府信息公开工作机构负责人、市政府各部门单位政府信息公开工作机构负责人120余人次。</w:t>
      </w:r>
      <w:r>
        <w:rPr>
          <w:rFonts w:hint="eastAsia" w:ascii="仿宋" w:hAnsi="仿宋" w:eastAsia="仿宋" w:cs="仿宋"/>
          <w:b w:val="0"/>
          <w:i w:val="0"/>
          <w:caps w:val="0"/>
          <w:color w:val="auto"/>
          <w:spacing w:val="0"/>
          <w:sz w:val="32"/>
          <w:szCs w:val="32"/>
          <w:lang w:eastAsia="zh-CN"/>
        </w:rPr>
        <w:t>各区县、市政府各部门单位亦通过举办培训班、召开政务公开工作会议或专题会议等形式，就政府信息公开重点工作任务、相关政策法规、政府信息公开申请办理、新闻发布与舆情回应处置等内容进行讲解培训，同时利用微信、QQ等政务公开工作交流群，适时分享工作经验，探讨工作难点，提升公开工作能力。</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（七）加强解读，增强实效</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 w:val="0"/>
          <w:i w:val="0"/>
          <w:caps w:val="0"/>
          <w:color w:val="auto"/>
          <w:spacing w:val="0"/>
          <w:sz w:val="32"/>
          <w:szCs w:val="32"/>
          <w:lang w:val="en-US" w:eastAsia="zh-CN"/>
        </w:rPr>
      </w:pPr>
      <w:r>
        <w:drawing>
          <wp:anchor distT="0" distB="0" distL="114300" distR="114300" simplePos="0" relativeHeight="277415936" behindDoc="1" locked="0" layoutInCell="1" allowOverlap="1">
            <wp:simplePos x="0" y="0"/>
            <wp:positionH relativeFrom="column">
              <wp:posOffset>1281430</wp:posOffset>
            </wp:positionH>
            <wp:positionV relativeFrom="paragraph">
              <wp:posOffset>1285875</wp:posOffset>
            </wp:positionV>
            <wp:extent cx="4035425" cy="2936875"/>
            <wp:effectExtent l="28575" t="28575" r="31750" b="44450"/>
            <wp:wrapTight wrapText="bothSides">
              <wp:wrapPolygon>
                <wp:start x="-153" y="-210"/>
                <wp:lineTo x="-153" y="21647"/>
                <wp:lineTo x="21668" y="21647"/>
                <wp:lineTo x="21668" y="-210"/>
                <wp:lineTo x="-153" y="-210"/>
              </wp:wrapPolygon>
            </wp:wrapTight>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0"/>
                    <a:stretch>
                      <a:fillRect/>
                    </a:stretch>
                  </pic:blipFill>
                  <pic:spPr>
                    <a:xfrm>
                      <a:off x="0" y="0"/>
                      <a:ext cx="4035425" cy="2936875"/>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eastAsia="zh-CN"/>
        </w:rPr>
        <w:t>按照“谁起草、谁解读”原则，同步起草政策文件和解读材料，同步审签，文件公开后</w:t>
      </w:r>
      <w:r>
        <w:rPr>
          <w:rFonts w:hint="eastAsia" w:ascii="仿宋" w:hAnsi="仿宋" w:eastAsia="仿宋" w:cs="仿宋"/>
          <w:b w:val="0"/>
          <w:i w:val="0"/>
          <w:caps w:val="0"/>
          <w:color w:val="auto"/>
          <w:spacing w:val="0"/>
          <w:sz w:val="32"/>
          <w:szCs w:val="32"/>
          <w:lang w:val="en-US" w:eastAsia="zh-CN"/>
        </w:rPr>
        <w:t>3日内发布解读材料，将政策文件制定的目的意义、执行口径、操作方法等向公众进行解读。</w:t>
      </w:r>
      <w:r>
        <w:rPr>
          <w:rFonts w:hint="eastAsia" w:ascii="仿宋" w:hAnsi="仿宋" w:eastAsia="仿宋" w:cs="仿宋"/>
          <w:b/>
          <w:bCs/>
          <w:i w:val="0"/>
          <w:caps w:val="0"/>
          <w:color w:val="auto"/>
          <w:spacing w:val="0"/>
          <w:sz w:val="32"/>
          <w:szCs w:val="32"/>
          <w:lang w:val="en-US" w:eastAsia="zh-CN"/>
        </w:rPr>
        <w:t>二是</w:t>
      </w:r>
      <w:r>
        <w:rPr>
          <w:rFonts w:hint="eastAsia" w:ascii="仿宋" w:hAnsi="仿宋" w:eastAsia="仿宋" w:cs="仿宋"/>
          <w:b w:val="0"/>
          <w:i w:val="0"/>
          <w:caps w:val="0"/>
          <w:color w:val="auto"/>
          <w:spacing w:val="0"/>
          <w:sz w:val="32"/>
          <w:szCs w:val="32"/>
          <w:lang w:val="en-US" w:eastAsia="zh-CN"/>
        </w:rPr>
        <w:t>按照《国务院办公厅关于印发政府网站发展指引的通知》（国办发〔2017〕47号）要求，在政府网站设置专门栏目集中发布政策解读，并将政策文件与解读材料双向互联，在政策文件页面关联解读材料，在解</w:t>
      </w: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77416960" behindDoc="1" locked="0" layoutInCell="1" allowOverlap="1">
            <wp:simplePos x="0" y="0"/>
            <wp:positionH relativeFrom="column">
              <wp:posOffset>15875</wp:posOffset>
            </wp:positionH>
            <wp:positionV relativeFrom="paragraph">
              <wp:posOffset>412115</wp:posOffset>
            </wp:positionV>
            <wp:extent cx="2264410" cy="3730625"/>
            <wp:effectExtent l="28575" t="28575" r="0" b="31750"/>
            <wp:wrapTight wrapText="bothSides">
              <wp:wrapPolygon>
                <wp:start x="-273" y="-165"/>
                <wp:lineTo x="-273" y="21674"/>
                <wp:lineTo x="21715" y="21674"/>
                <wp:lineTo x="21715" y="-165"/>
                <wp:lineTo x="-273" y="-165"/>
              </wp:wrapPolygon>
            </wp:wrapTight>
            <wp:docPr id="57" name="图片 57" descr="b65558523585c88a4305785268b4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b65558523585c88a4305785268b4d5a"/>
                    <pic:cNvPicPr>
                      <a:picLocks noChangeAspect="1"/>
                    </pic:cNvPicPr>
                  </pic:nvPicPr>
                  <pic:blipFill>
                    <a:blip r:embed="rId21"/>
                    <a:stretch>
                      <a:fillRect/>
                    </a:stretch>
                  </pic:blipFill>
                  <pic:spPr>
                    <a:xfrm>
                      <a:off x="0" y="0"/>
                      <a:ext cx="2264410" cy="3730625"/>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读材料页面关联政策文件，方便公众查阅。</w:t>
      </w:r>
      <w:r>
        <w:rPr>
          <w:rFonts w:hint="eastAsia" w:ascii="仿宋" w:hAnsi="仿宋" w:eastAsia="仿宋" w:cs="仿宋"/>
          <w:b/>
          <w:bCs/>
          <w:i w:val="0"/>
          <w:caps w:val="0"/>
          <w:color w:val="auto"/>
          <w:spacing w:val="0"/>
          <w:sz w:val="32"/>
          <w:szCs w:val="32"/>
          <w:lang w:eastAsia="zh-CN"/>
        </w:rPr>
        <w:t>三是</w:t>
      </w:r>
      <w:r>
        <w:rPr>
          <w:rFonts w:hint="eastAsia" w:ascii="仿宋" w:hAnsi="仿宋" w:eastAsia="仿宋" w:cs="仿宋"/>
          <w:b w:val="0"/>
          <w:bCs w:val="0"/>
          <w:i w:val="0"/>
          <w:caps w:val="0"/>
          <w:color w:val="auto"/>
          <w:spacing w:val="0"/>
          <w:sz w:val="32"/>
          <w:szCs w:val="32"/>
          <w:lang w:eastAsia="zh-CN"/>
        </w:rPr>
        <w:t>及时解读会议议定事项</w:t>
      </w:r>
      <w:r>
        <w:rPr>
          <w:rFonts w:hint="eastAsia" w:ascii="仿宋" w:hAnsi="仿宋" w:eastAsia="仿宋" w:cs="仿宋"/>
          <w:b w:val="0"/>
          <w:i w:val="0"/>
          <w:caps w:val="0"/>
          <w:color w:val="auto"/>
          <w:spacing w:val="0"/>
          <w:sz w:val="32"/>
          <w:szCs w:val="32"/>
          <w:lang w:eastAsia="zh-CN"/>
        </w:rPr>
        <w:t>，对市政府常务会议及相关专题会议议定的事项，均及时通过新闻媒体、新闻发布会等渠道向社会公开并加以解读。</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（八）政民互动，回应关切</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9"/>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eastAsia="zh-CN"/>
        </w:rPr>
        <w:drawing>
          <wp:anchor distT="0" distB="0" distL="114300" distR="114300" simplePos="0" relativeHeight="277417984" behindDoc="1" locked="0" layoutInCell="1" allowOverlap="1">
            <wp:simplePos x="0" y="0"/>
            <wp:positionH relativeFrom="column">
              <wp:posOffset>490220</wp:posOffset>
            </wp:positionH>
            <wp:positionV relativeFrom="paragraph">
              <wp:posOffset>2372360</wp:posOffset>
            </wp:positionV>
            <wp:extent cx="2244090" cy="3003550"/>
            <wp:effectExtent l="28575" t="28575" r="32385" b="34925"/>
            <wp:wrapTight wrapText="bothSides">
              <wp:wrapPolygon>
                <wp:start x="-275" y="-205"/>
                <wp:lineTo x="-275" y="21714"/>
                <wp:lineTo x="21728" y="21714"/>
                <wp:lineTo x="21728" y="-205"/>
                <wp:lineTo x="-275" y="-205"/>
              </wp:wrapPolygon>
            </wp:wrapTight>
            <wp:docPr id="58" name="图片 58" descr="155374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553740056"/>
                    <pic:cNvPicPr>
                      <a:picLocks noChangeAspect="1"/>
                    </pic:cNvPicPr>
                  </pic:nvPicPr>
                  <pic:blipFill>
                    <a:blip r:embed="rId22"/>
                    <a:stretch>
                      <a:fillRect/>
                    </a:stretch>
                  </pic:blipFill>
                  <pic:spPr>
                    <a:xfrm>
                      <a:off x="0" y="0"/>
                      <a:ext cx="2244090" cy="3003550"/>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仿宋"/>
          <w:b/>
          <w:bCs/>
          <w:i w:val="0"/>
          <w:caps w:val="0"/>
          <w:color w:val="auto"/>
          <w:spacing w:val="0"/>
          <w:sz w:val="32"/>
          <w:szCs w:val="32"/>
          <w:lang w:eastAsia="zh-CN"/>
        </w:rPr>
        <w:t>一是</w:t>
      </w:r>
      <w:r>
        <w:rPr>
          <w:rFonts w:hint="eastAsia" w:ascii="仿宋" w:hAnsi="仿宋" w:eastAsia="仿宋" w:cs="仿宋"/>
          <w:b w:val="0"/>
          <w:i w:val="0"/>
          <w:caps w:val="0"/>
          <w:color w:val="auto"/>
          <w:spacing w:val="0"/>
          <w:sz w:val="32"/>
          <w:szCs w:val="32"/>
          <w:lang w:eastAsia="zh-CN"/>
        </w:rPr>
        <w:t>积极做好舆情应对工作。制发《淄博市人民政府办公厅关于进一步做好政务舆情工作的通知》（淄政办发〔2018〕22号），成立了以市长为组长，分管副市长为副组长，各区县政府区县长、市政府有关部门主要负责人为成员的政务舆情应对工作领导小组，负责领导全市政务舆情工作，市政府党组会先后两次专题研究政务舆情工作，对政务舆情工作提出明确要求。</w:t>
      </w:r>
      <w:r>
        <w:rPr>
          <w:rFonts w:hint="eastAsia" w:ascii="仿宋" w:hAnsi="仿宋" w:eastAsia="仿宋" w:cs="仿宋"/>
          <w:b/>
          <w:bCs/>
          <w:i w:val="0"/>
          <w:caps w:val="0"/>
          <w:color w:val="auto"/>
          <w:spacing w:val="0"/>
          <w:sz w:val="32"/>
          <w:szCs w:val="32"/>
          <w:lang w:eastAsia="zh-CN"/>
        </w:rPr>
        <w:t>二是</w:t>
      </w:r>
      <w:r>
        <w:rPr>
          <w:rFonts w:hint="eastAsia" w:ascii="仿宋" w:hAnsi="仿宋" w:eastAsia="仿宋" w:cs="仿宋"/>
          <w:b w:val="0"/>
          <w:i w:val="0"/>
          <w:caps w:val="0"/>
          <w:color w:val="auto"/>
          <w:spacing w:val="0"/>
          <w:sz w:val="32"/>
          <w:szCs w:val="32"/>
          <w:lang w:eastAsia="zh-CN"/>
        </w:rPr>
        <w:t>扎实做好</w:t>
      </w:r>
      <w:r>
        <w:rPr>
          <w:rFonts w:hint="eastAsia" w:ascii="仿宋" w:hAnsi="仿宋" w:eastAsia="仿宋" w:cs="仿宋"/>
          <w:b w:val="0"/>
          <w:i w:val="0"/>
          <w:caps w:val="0"/>
          <w:color w:val="auto"/>
          <w:spacing w:val="0"/>
          <w:sz w:val="32"/>
          <w:szCs w:val="32"/>
          <w:lang w:val="en-US" w:eastAsia="zh-CN"/>
        </w:rPr>
        <w:t>政务</w:t>
      </w:r>
      <w:r>
        <w:rPr>
          <w:rFonts w:hint="eastAsia" w:ascii="仿宋" w:hAnsi="仿宋" w:eastAsia="仿宋" w:cs="仿宋"/>
          <w:b w:val="0"/>
          <w:i w:val="0"/>
          <w:caps w:val="0"/>
          <w:color w:val="auto"/>
          <w:spacing w:val="0"/>
          <w:sz w:val="32"/>
          <w:szCs w:val="32"/>
          <w:lang w:eastAsia="zh-CN"/>
        </w:rPr>
        <w:t>服务热线工作。201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lang w:eastAsia="zh-CN"/>
        </w:rPr>
        <w:t>年，</w:t>
      </w:r>
      <w:r>
        <w:rPr>
          <w:rFonts w:hint="eastAsia" w:ascii="仿宋" w:hAnsi="仿宋" w:eastAsia="仿宋" w:cs="仿宋"/>
          <w:b w:val="0"/>
          <w:i w:val="0"/>
          <w:caps w:val="0"/>
          <w:color w:val="auto"/>
          <w:spacing w:val="0"/>
          <w:sz w:val="32"/>
          <w:szCs w:val="32"/>
          <w:lang w:val="en-US" w:eastAsia="zh-CN"/>
        </w:rPr>
        <w:t>淄博政务</w:t>
      </w:r>
      <w:r>
        <w:rPr>
          <w:rFonts w:hint="eastAsia" w:ascii="仿宋" w:hAnsi="仿宋" w:eastAsia="仿宋" w:cs="仿宋"/>
          <w:b w:val="0"/>
          <w:i w:val="0"/>
          <w:caps w:val="0"/>
          <w:color w:val="auto"/>
          <w:spacing w:val="0"/>
          <w:sz w:val="32"/>
          <w:szCs w:val="32"/>
          <w:lang w:eastAsia="zh-CN"/>
        </w:rPr>
        <w:t>服务热线共受理市民投诉</w:t>
      </w:r>
      <w:r>
        <w:rPr>
          <w:rFonts w:hint="eastAsia" w:ascii="仿宋" w:hAnsi="仿宋" w:eastAsia="仿宋" w:cs="仿宋"/>
          <w:b w:val="0"/>
          <w:i w:val="0"/>
          <w:caps w:val="0"/>
          <w:color w:val="auto"/>
          <w:spacing w:val="0"/>
          <w:sz w:val="32"/>
          <w:szCs w:val="32"/>
          <w:lang w:val="en-US" w:eastAsia="zh-CN"/>
        </w:rPr>
        <w:t>482521件，</w:t>
      </w:r>
      <w:r>
        <w:rPr>
          <w:rFonts w:hint="eastAsia" w:ascii="仿宋" w:hAnsi="仿宋" w:eastAsia="仿宋" w:cs="仿宋"/>
          <w:b w:val="0"/>
          <w:i w:val="0"/>
          <w:caps w:val="0"/>
          <w:color w:val="auto"/>
          <w:spacing w:val="0"/>
          <w:sz w:val="32"/>
          <w:szCs w:val="32"/>
          <w:lang w:eastAsia="zh-CN"/>
        </w:rPr>
        <w:t>办理</w:t>
      </w:r>
      <w:r>
        <w:rPr>
          <w:rFonts w:hint="eastAsia" w:ascii="仿宋" w:hAnsi="仿宋" w:eastAsia="仿宋" w:cs="仿宋"/>
          <w:b w:val="0"/>
          <w:i w:val="0"/>
          <w:caps w:val="0"/>
          <w:color w:val="auto"/>
          <w:spacing w:val="0"/>
          <w:sz w:val="32"/>
          <w:szCs w:val="32"/>
          <w:lang w:val="en-US" w:eastAsia="zh-CN"/>
        </w:rPr>
        <w:t>省级政务服务热线来件3896件、</w:t>
      </w:r>
      <w:r>
        <w:rPr>
          <w:rFonts w:hint="eastAsia" w:ascii="仿宋" w:hAnsi="仿宋" w:eastAsia="仿宋" w:cs="仿宋"/>
          <w:b w:val="0"/>
          <w:i w:val="0"/>
          <w:caps w:val="0"/>
          <w:color w:val="auto"/>
          <w:spacing w:val="0"/>
          <w:sz w:val="32"/>
          <w:szCs w:val="32"/>
          <w:lang w:eastAsia="zh-CN"/>
        </w:rPr>
        <w:t>市长信箱来件</w:t>
      </w:r>
      <w:r>
        <w:rPr>
          <w:rFonts w:hint="eastAsia" w:ascii="仿宋" w:hAnsi="仿宋" w:eastAsia="仿宋" w:cs="仿宋"/>
          <w:b w:val="0"/>
          <w:i w:val="0"/>
          <w:caps w:val="0"/>
          <w:color w:val="auto"/>
          <w:spacing w:val="0"/>
          <w:sz w:val="32"/>
          <w:szCs w:val="32"/>
          <w:lang w:val="en-US" w:eastAsia="zh-CN"/>
        </w:rPr>
        <w:t>2157</w:t>
      </w:r>
      <w:r>
        <w:rPr>
          <w:rFonts w:hint="eastAsia" w:ascii="仿宋" w:hAnsi="仿宋" w:eastAsia="仿宋" w:cs="仿宋"/>
          <w:b w:val="0"/>
          <w:i w:val="0"/>
          <w:caps w:val="0"/>
          <w:color w:val="auto"/>
          <w:spacing w:val="0"/>
          <w:sz w:val="32"/>
          <w:szCs w:val="32"/>
          <w:lang w:eastAsia="zh-CN"/>
        </w:rPr>
        <w:t>件</w:t>
      </w:r>
      <w:r>
        <w:rPr>
          <w:rFonts w:hint="eastAsia" w:ascii="仿宋" w:hAnsi="仿宋" w:eastAsia="仿宋" w:cs="仿宋"/>
          <w:b w:val="0"/>
          <w:i w:val="0"/>
          <w:caps w:val="0"/>
          <w:color w:val="auto"/>
          <w:spacing w:val="0"/>
          <w:sz w:val="32"/>
          <w:szCs w:val="32"/>
          <w:lang w:val="en-US" w:eastAsia="zh-CN"/>
        </w:rPr>
        <w:t>；市民投诉中心继续与淄博报业传媒集团合作开办《民意直通车》栏目，</w:t>
      </w:r>
    </w:p>
    <w:p>
      <w:pPr>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i w:val="0"/>
          <w:caps w:val="0"/>
          <w:color w:val="auto"/>
          <w:spacing w:val="0"/>
          <w:sz w:val="32"/>
          <w:szCs w:val="32"/>
          <w:lang w:val="en-US" w:eastAsia="zh-CN"/>
        </w:rPr>
      </w:pPr>
      <w:r>
        <w:drawing>
          <wp:anchor distT="0" distB="0" distL="114300" distR="114300" simplePos="0" relativeHeight="279107584" behindDoc="1" locked="0" layoutInCell="1" allowOverlap="1">
            <wp:simplePos x="0" y="0"/>
            <wp:positionH relativeFrom="column">
              <wp:posOffset>34925</wp:posOffset>
            </wp:positionH>
            <wp:positionV relativeFrom="paragraph">
              <wp:posOffset>897255</wp:posOffset>
            </wp:positionV>
            <wp:extent cx="4354195" cy="2783840"/>
            <wp:effectExtent l="28575" t="28575" r="0" b="45085"/>
            <wp:wrapTight wrapText="bothSides">
              <wp:wrapPolygon>
                <wp:start x="-142" y="-222"/>
                <wp:lineTo x="-142" y="21654"/>
                <wp:lineTo x="21688" y="21654"/>
                <wp:lineTo x="21688" y="-222"/>
                <wp:lineTo x="-142" y="-222"/>
              </wp:wrapPolygon>
            </wp:wrapTight>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3"/>
                    <a:stretch>
                      <a:fillRect/>
                    </a:stretch>
                  </pic:blipFill>
                  <pic:spPr>
                    <a:xfrm>
                      <a:off x="0" y="0"/>
                      <a:ext cx="4354195" cy="278384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val="en-US" w:eastAsia="zh-CN"/>
        </w:rPr>
        <w:t>年内出刊《</w:t>
      </w:r>
      <w:r>
        <w:rPr>
          <w:rFonts w:hint="eastAsia" w:ascii="仿宋" w:hAnsi="仿宋" w:eastAsia="仿宋" w:cs="仿宋"/>
          <w:b w:val="0"/>
          <w:i w:val="0"/>
          <w:caps w:val="0"/>
          <w:color w:val="auto"/>
          <w:spacing w:val="0"/>
          <w:sz w:val="32"/>
          <w:szCs w:val="32"/>
          <w:lang w:eastAsia="zh-CN"/>
        </w:rPr>
        <w:t>民意直通车</w:t>
      </w:r>
      <w:r>
        <w:rPr>
          <w:rFonts w:hint="eastAsia" w:ascii="仿宋" w:hAnsi="仿宋" w:eastAsia="仿宋" w:cs="仿宋"/>
          <w:b w:val="0"/>
          <w:i w:val="0"/>
          <w:caps w:val="0"/>
          <w:color w:val="auto"/>
          <w:spacing w:val="0"/>
          <w:sz w:val="32"/>
          <w:szCs w:val="32"/>
          <w:lang w:val="en-US" w:eastAsia="zh-CN"/>
        </w:rPr>
        <w:t>》228期，直接为群众解决实际问题1368件，与市广播电视台合办《直播12345》节目，年内办理群众通过节目投诉反映的事项2455件，办结率为100%。</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0"/>
        <w:rPr>
          <w:rFonts w:hint="eastAsia" w:ascii="黑体" w:hAnsi="黑体" w:eastAsia="黑体" w:cs="黑体"/>
          <w:b/>
          <w:bCs w:val="0"/>
          <w:i w:val="0"/>
          <w:caps w:val="0"/>
          <w:color w:val="auto"/>
          <w:spacing w:val="0"/>
          <w:sz w:val="32"/>
          <w:szCs w:val="32"/>
          <w:lang w:eastAsia="zh-CN"/>
        </w:rPr>
      </w:pPr>
      <w:r>
        <w:rPr>
          <w:rFonts w:hint="eastAsia" w:ascii="黑体" w:hAnsi="黑体" w:eastAsia="黑体" w:cs="黑体"/>
          <w:b/>
          <w:bCs w:val="0"/>
          <w:i w:val="0"/>
          <w:caps w:val="0"/>
          <w:color w:val="auto"/>
          <w:spacing w:val="0"/>
          <w:sz w:val="32"/>
          <w:szCs w:val="32"/>
          <w:lang w:eastAsia="zh-CN"/>
        </w:rPr>
        <w:t>二、主动公开政府信息情况</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（一）主动公开政府信息数量</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outlineLvl w:val="9"/>
        <w:rPr>
          <w:rFonts w:hint="eastAsia" w:ascii="仿宋" w:hAnsi="仿宋" w:eastAsia="仿宋" w:cs="仿宋"/>
          <w:b w:val="0"/>
          <w:i w:val="0"/>
          <w:caps w:val="0"/>
          <w:color w:val="auto"/>
          <w:spacing w:val="0"/>
          <w:sz w:val="32"/>
          <w:szCs w:val="32"/>
          <w:lang w:eastAsia="zh-CN"/>
        </w:rPr>
      </w:pPr>
      <w:r>
        <w:rPr>
          <w:rFonts w:hint="eastAsia" w:ascii="仿宋_GB2312" w:eastAsia="仿宋_GB2312"/>
          <w:sz w:val="32"/>
          <w:szCs w:val="32"/>
        </w:rPr>
        <w:pict>
          <v:shape id="_x0000_s1026" o:spid="_x0000_s1026" o:spt="75" type="#_x0000_t75" style="position:absolute;left:0pt;margin-left:79.1pt;margin-top:89.35pt;height:208.5pt;width:336.25pt;mso-wrap-distance-left:9pt;mso-wrap-distance-right:9pt;z-index:-251248640;mso-width-relative:page;mso-height-relative:page;" o:ole="t" filled="f" o:preferrelative="t" stroked="f" coordsize="21600,21600" wrapcoords="21592 -2 0 0 0 21600 21592 21602 8 21602 21600 21600 21600 0 8 -2 21592 -2" o:gfxdata="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">
            <v:path/>
            <v:fill on="f" focussize="0,0"/>
            <v:stroke on="f"/>
            <v:imagedata r:id="rId25" o:title=""/>
            <o:lock v:ext="edit" aspectratio="t"/>
            <w10:wrap type="tight"/>
          </v:shape>
          <o:OLEObject Type="Embed" ProgID="excel.sheet.8" ShapeID="_x0000_s1026" DrawAspect="Content" ObjectID="_1468075725" r:id="rId24">
            <o:LockedField>false</o:LockedField>
          </o:OLEObject>
        </w:pict>
      </w:r>
      <w:r>
        <w:rPr>
          <w:rFonts w:hint="eastAsia" w:ascii="仿宋" w:hAnsi="仿宋" w:eastAsia="仿宋" w:cs="仿宋"/>
          <w:b w:val="0"/>
          <w:i w:val="0"/>
          <w:caps w:val="0"/>
          <w:color w:val="auto"/>
          <w:spacing w:val="0"/>
          <w:sz w:val="32"/>
          <w:szCs w:val="32"/>
          <w:lang w:eastAsia="zh-CN"/>
        </w:rPr>
        <w:t>201</w:t>
      </w:r>
      <w:r>
        <w:rPr>
          <w:rFonts w:hint="eastAsia" w:ascii="仿宋" w:hAnsi="仿宋" w:eastAsia="仿宋" w:cs="仿宋"/>
          <w:b w:val="0"/>
          <w:i w:val="0"/>
          <w:caps w:val="0"/>
          <w:color w:val="auto"/>
          <w:spacing w:val="0"/>
          <w:sz w:val="32"/>
          <w:szCs w:val="32"/>
          <w:lang w:val="en-US" w:eastAsia="zh-CN"/>
        </w:rPr>
        <w:t>8</w:t>
      </w:r>
      <w:r>
        <w:rPr>
          <w:rFonts w:hint="eastAsia" w:ascii="仿宋" w:hAnsi="仿宋" w:eastAsia="仿宋" w:cs="仿宋"/>
          <w:b w:val="0"/>
          <w:i w:val="0"/>
          <w:caps w:val="0"/>
          <w:color w:val="auto"/>
          <w:spacing w:val="0"/>
          <w:sz w:val="32"/>
          <w:szCs w:val="32"/>
          <w:lang w:eastAsia="zh-CN"/>
        </w:rPr>
        <w:t>年全市各级共主动公开政府信息</w:t>
      </w:r>
      <w:r>
        <w:rPr>
          <w:rFonts w:hint="eastAsia" w:ascii="仿宋" w:hAnsi="仿宋" w:eastAsia="仿宋" w:cs="仿宋"/>
          <w:b w:val="0"/>
          <w:i w:val="0"/>
          <w:caps w:val="0"/>
          <w:color w:val="auto"/>
          <w:spacing w:val="0"/>
          <w:sz w:val="32"/>
          <w:szCs w:val="32"/>
          <w:lang w:val="en-US" w:eastAsia="zh-CN"/>
        </w:rPr>
        <w:t>145991</w:t>
      </w:r>
      <w:r>
        <w:rPr>
          <w:rFonts w:hint="eastAsia" w:ascii="仿宋" w:hAnsi="仿宋" w:eastAsia="仿宋" w:cs="仿宋"/>
          <w:b w:val="0"/>
          <w:i w:val="0"/>
          <w:caps w:val="0"/>
          <w:color w:val="auto"/>
          <w:spacing w:val="0"/>
          <w:sz w:val="32"/>
          <w:szCs w:val="32"/>
          <w:lang w:eastAsia="zh-CN"/>
        </w:rPr>
        <w:t>条,较上年增长</w:t>
      </w:r>
      <w:r>
        <w:rPr>
          <w:rFonts w:hint="eastAsia" w:ascii="仿宋" w:hAnsi="仿宋" w:eastAsia="仿宋" w:cs="仿宋"/>
          <w:b w:val="0"/>
          <w:i w:val="0"/>
          <w:caps w:val="0"/>
          <w:color w:val="auto"/>
          <w:spacing w:val="0"/>
          <w:sz w:val="32"/>
          <w:szCs w:val="32"/>
          <w:lang w:val="en-US" w:eastAsia="zh-CN"/>
        </w:rPr>
        <w:t>45.05%，</w:t>
      </w:r>
      <w:r>
        <w:rPr>
          <w:rFonts w:hint="eastAsia" w:ascii="仿宋" w:hAnsi="仿宋" w:eastAsia="仿宋" w:cs="仿宋"/>
          <w:b w:val="0"/>
          <w:i w:val="0"/>
          <w:caps w:val="0"/>
          <w:color w:val="auto"/>
          <w:spacing w:val="0"/>
          <w:sz w:val="32"/>
          <w:szCs w:val="32"/>
          <w:lang w:eastAsia="zh-CN"/>
        </w:rPr>
        <w:t>其中市本级公开61762条，区县及以下公开</w:t>
      </w:r>
      <w:r>
        <w:rPr>
          <w:rFonts w:hint="eastAsia" w:ascii="仿宋" w:hAnsi="仿宋" w:eastAsia="仿宋" w:cs="仿宋"/>
          <w:b w:val="0"/>
          <w:i w:val="0"/>
          <w:caps w:val="0"/>
          <w:color w:val="auto"/>
          <w:spacing w:val="0"/>
          <w:sz w:val="32"/>
          <w:szCs w:val="32"/>
          <w:lang w:val="en-US" w:eastAsia="zh-CN"/>
        </w:rPr>
        <w:t>84229</w:t>
      </w:r>
      <w:r>
        <w:rPr>
          <w:rFonts w:hint="eastAsia" w:ascii="仿宋" w:hAnsi="仿宋" w:eastAsia="仿宋" w:cs="仿宋"/>
          <w:b w:val="0"/>
          <w:i w:val="0"/>
          <w:caps w:val="0"/>
          <w:color w:val="auto"/>
          <w:spacing w:val="0"/>
          <w:sz w:val="32"/>
          <w:szCs w:val="32"/>
          <w:lang w:eastAsia="zh-CN"/>
        </w:rPr>
        <w:t>条；政府公报公开信息</w:t>
      </w:r>
      <w:r>
        <w:rPr>
          <w:rFonts w:hint="eastAsia" w:ascii="仿宋" w:hAnsi="仿宋" w:eastAsia="仿宋" w:cs="仿宋"/>
          <w:b w:val="0"/>
          <w:i w:val="0"/>
          <w:caps w:val="0"/>
          <w:color w:val="auto"/>
          <w:spacing w:val="0"/>
          <w:sz w:val="32"/>
          <w:szCs w:val="32"/>
          <w:lang w:val="en-US" w:eastAsia="zh-CN"/>
        </w:rPr>
        <w:t>600</w:t>
      </w:r>
      <w:r>
        <w:rPr>
          <w:rFonts w:hint="eastAsia" w:ascii="仿宋" w:hAnsi="仿宋" w:eastAsia="仿宋" w:cs="仿宋"/>
          <w:b w:val="0"/>
          <w:i w:val="0"/>
          <w:caps w:val="0"/>
          <w:color w:val="auto"/>
          <w:spacing w:val="0"/>
          <w:sz w:val="32"/>
          <w:szCs w:val="32"/>
          <w:lang w:eastAsia="zh-CN"/>
        </w:rPr>
        <w:t>条，政府网站公开信息</w:t>
      </w:r>
      <w:r>
        <w:rPr>
          <w:rFonts w:hint="eastAsia" w:ascii="仿宋" w:hAnsi="仿宋" w:eastAsia="仿宋" w:cs="仿宋"/>
          <w:b w:val="0"/>
          <w:i w:val="0"/>
          <w:caps w:val="0"/>
          <w:color w:val="auto"/>
          <w:spacing w:val="0"/>
          <w:sz w:val="32"/>
          <w:szCs w:val="32"/>
          <w:lang w:val="en-US" w:eastAsia="zh-CN"/>
        </w:rPr>
        <w:t>110150</w:t>
      </w:r>
      <w:r>
        <w:rPr>
          <w:rFonts w:hint="eastAsia" w:ascii="仿宋" w:hAnsi="仿宋" w:eastAsia="仿宋" w:cs="仿宋"/>
          <w:b w:val="0"/>
          <w:i w:val="0"/>
          <w:caps w:val="0"/>
          <w:color w:val="auto"/>
          <w:spacing w:val="0"/>
          <w:sz w:val="32"/>
          <w:szCs w:val="32"/>
          <w:lang w:eastAsia="zh-CN"/>
        </w:rPr>
        <w:t>条，政务微博公开信息</w:t>
      </w:r>
      <w:r>
        <w:rPr>
          <w:rFonts w:hint="eastAsia" w:ascii="仿宋" w:hAnsi="仿宋" w:eastAsia="仿宋" w:cs="仿宋"/>
          <w:b w:val="0"/>
          <w:i w:val="0"/>
          <w:caps w:val="0"/>
          <w:color w:val="auto"/>
          <w:spacing w:val="0"/>
          <w:sz w:val="32"/>
          <w:szCs w:val="32"/>
          <w:lang w:val="en-US" w:eastAsia="zh-CN"/>
        </w:rPr>
        <w:t>43003</w:t>
      </w:r>
      <w:r>
        <w:rPr>
          <w:rFonts w:hint="eastAsia" w:ascii="仿宋" w:hAnsi="仿宋" w:eastAsia="仿宋" w:cs="仿宋"/>
          <w:b w:val="0"/>
          <w:i w:val="0"/>
          <w:caps w:val="0"/>
          <w:color w:val="auto"/>
          <w:spacing w:val="0"/>
          <w:sz w:val="32"/>
          <w:szCs w:val="32"/>
          <w:lang w:eastAsia="zh-CN"/>
        </w:rPr>
        <w:t>条，政务微信公开信息</w:t>
      </w:r>
      <w:r>
        <w:rPr>
          <w:rFonts w:hint="eastAsia" w:ascii="仿宋" w:hAnsi="仿宋" w:eastAsia="仿宋" w:cs="仿宋"/>
          <w:b w:val="0"/>
          <w:i w:val="0"/>
          <w:caps w:val="0"/>
          <w:color w:val="auto"/>
          <w:spacing w:val="0"/>
          <w:sz w:val="32"/>
          <w:szCs w:val="32"/>
          <w:lang w:val="en-US" w:eastAsia="zh-CN"/>
        </w:rPr>
        <w:t>34336</w:t>
      </w:r>
      <w:r>
        <w:rPr>
          <w:rFonts w:hint="eastAsia" w:ascii="仿宋" w:hAnsi="仿宋" w:eastAsia="仿宋" w:cs="仿宋"/>
          <w:b w:val="0"/>
          <w:i w:val="0"/>
          <w:caps w:val="0"/>
          <w:color w:val="auto"/>
          <w:spacing w:val="0"/>
          <w:sz w:val="32"/>
          <w:szCs w:val="32"/>
          <w:lang w:eastAsia="zh-CN"/>
        </w:rPr>
        <w:t>条，</w:t>
      </w:r>
    </w:p>
    <w:p>
      <w:pPr>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b w:val="0"/>
          <w:i w:val="0"/>
          <w:caps w:val="0"/>
          <w:color w:val="auto"/>
          <w:spacing w:val="0"/>
          <w:sz w:val="32"/>
          <w:szCs w:val="32"/>
          <w:lang w:eastAsia="zh-CN"/>
        </w:rPr>
      </w:pPr>
      <w:r>
        <w:rPr>
          <w:rFonts w:hint="eastAsia" w:ascii="仿宋" w:hAnsi="仿宋" w:eastAsia="仿宋" w:cs="仿宋"/>
          <w:b w:val="0"/>
          <w:i w:val="0"/>
          <w:caps w:val="0"/>
          <w:color w:val="auto"/>
          <w:spacing w:val="0"/>
          <w:sz w:val="32"/>
          <w:szCs w:val="32"/>
          <w:lang w:eastAsia="zh-CN"/>
        </w:rPr>
        <w:t>其他方式公开信息</w:t>
      </w:r>
      <w:r>
        <w:rPr>
          <w:rFonts w:hint="eastAsia" w:ascii="仿宋" w:hAnsi="仿宋" w:eastAsia="仿宋" w:cs="仿宋"/>
          <w:b w:val="0"/>
          <w:i w:val="0"/>
          <w:caps w:val="0"/>
          <w:color w:val="auto"/>
          <w:spacing w:val="0"/>
          <w:sz w:val="32"/>
          <w:szCs w:val="32"/>
          <w:lang w:val="en-US" w:eastAsia="zh-CN"/>
        </w:rPr>
        <w:t>23164</w:t>
      </w:r>
      <w:r>
        <w:rPr>
          <w:rFonts w:hint="eastAsia" w:ascii="仿宋" w:hAnsi="仿宋" w:eastAsia="仿宋" w:cs="仿宋"/>
          <w:b w:val="0"/>
          <w:i w:val="0"/>
          <w:caps w:val="0"/>
          <w:color w:val="auto"/>
          <w:spacing w:val="0"/>
          <w:sz w:val="32"/>
          <w:szCs w:val="32"/>
          <w:lang w:eastAsia="zh-CN"/>
        </w:rPr>
        <w:t>条。</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outlineLvl w:val="1"/>
        <w:rPr>
          <w:rFonts w:hint="eastAsia" w:ascii="仿宋" w:hAnsi="仿宋" w:eastAsia="仿宋" w:cs="仿宋"/>
          <w:b/>
          <w:bCs/>
          <w:i w:val="0"/>
          <w:caps w:val="0"/>
          <w:color w:val="auto"/>
          <w:spacing w:val="0"/>
          <w:sz w:val="32"/>
          <w:szCs w:val="32"/>
          <w:lang w:eastAsia="zh-CN"/>
        </w:rPr>
      </w:pPr>
      <w:r>
        <w:rPr>
          <w:rFonts w:hint="eastAsia" w:ascii="仿宋" w:hAnsi="仿宋" w:eastAsia="仿宋" w:cs="仿宋"/>
          <w:b/>
          <w:bCs/>
          <w:i w:val="0"/>
          <w:caps w:val="0"/>
          <w:color w:val="auto"/>
          <w:spacing w:val="0"/>
          <w:sz w:val="32"/>
          <w:szCs w:val="32"/>
          <w:lang w:eastAsia="zh-CN"/>
        </w:rPr>
        <w:t>（二）主要公开渠道</w:t>
      </w:r>
    </w:p>
    <w:p>
      <w:pPr>
        <w:keepNext w:val="0"/>
        <w:keepLines w:val="0"/>
        <w:pageBreakBefore w:val="0"/>
        <w:widowControl w:val="0"/>
        <w:kinsoku/>
        <w:wordWrap w:val="0"/>
        <w:overflowPunct/>
        <w:topLinePunct w:val="0"/>
        <w:autoSpaceDE/>
        <w:autoSpaceDN/>
        <w:bidi w:val="0"/>
        <w:adjustRightInd/>
        <w:snapToGrid/>
        <w:ind w:firstLine="840" w:firstLineChars="400"/>
        <w:jc w:val="both"/>
        <w:textAlignment w:val="auto"/>
        <w:outlineLvl w:val="9"/>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80580096" behindDoc="1" locked="0" layoutInCell="1" allowOverlap="1">
            <wp:simplePos x="0" y="0"/>
            <wp:positionH relativeFrom="column">
              <wp:posOffset>2811145</wp:posOffset>
            </wp:positionH>
            <wp:positionV relativeFrom="paragraph">
              <wp:posOffset>3221355</wp:posOffset>
            </wp:positionV>
            <wp:extent cx="2393315" cy="3467100"/>
            <wp:effectExtent l="28575" t="28575" r="35560" b="28575"/>
            <wp:wrapTight wrapText="bothSides">
              <wp:wrapPolygon>
                <wp:start x="-258" y="-178"/>
                <wp:lineTo x="-258" y="21659"/>
                <wp:lineTo x="21749" y="21659"/>
                <wp:lineTo x="21749" y="-178"/>
                <wp:lineTo x="-258" y="-178"/>
              </wp:wrapPolygon>
            </wp:wrapTight>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6"/>
                    <a:stretch>
                      <a:fillRect/>
                    </a:stretch>
                  </pic:blipFill>
                  <pic:spPr>
                    <a:xfrm>
                      <a:off x="0" y="0"/>
                      <a:ext cx="2393315" cy="3467100"/>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280164352" behindDoc="1" locked="0" layoutInCell="1" allowOverlap="1">
            <wp:simplePos x="0" y="0"/>
            <wp:positionH relativeFrom="column">
              <wp:posOffset>30480</wp:posOffset>
            </wp:positionH>
            <wp:positionV relativeFrom="paragraph">
              <wp:posOffset>375285</wp:posOffset>
            </wp:positionV>
            <wp:extent cx="3972560" cy="2416810"/>
            <wp:effectExtent l="28575" t="28575" r="37465" b="31115"/>
            <wp:wrapTight wrapText="bothSides">
              <wp:wrapPolygon>
                <wp:start x="-155" y="-255"/>
                <wp:lineTo x="-155" y="21708"/>
                <wp:lineTo x="21700" y="21708"/>
                <wp:lineTo x="21700" y="-255"/>
                <wp:lineTo x="-155" y="-255"/>
              </wp:wrapPolygon>
            </wp:wrapTight>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7"/>
                    <a:stretch>
                      <a:fillRect/>
                    </a:stretch>
                  </pic:blipFill>
                  <pic:spPr>
                    <a:xfrm>
                      <a:off x="0" y="0"/>
                      <a:ext cx="3972560" cy="2416810"/>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val="0"/>
          <w:i w:val="0"/>
          <w:caps w:val="0"/>
          <w:color w:val="auto"/>
          <w:spacing w:val="0"/>
          <w:sz w:val="32"/>
          <w:szCs w:val="32"/>
          <w:lang w:eastAsia="zh-CN"/>
        </w:rPr>
        <w:t>我市主动公开政府信息的渠道主要有：淄博市人民政府门户网站（www.zibo.gov.cn）及各级各部门官方网站，市政府新闻办及各级各部门新闻发布会，淄博日报、淄博晚报、淄博电视台、淄博人民广播电台、淄博新闻网等新闻媒体，“淄博发布”、“淄博政务督查”及各级各部门开通的政务微博和微信公众号，淄博市图书馆、淄博市档案馆、淄博市政务服务中心及各级各部门设置的政府信息公开查阅点。</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1"/>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（三）围绕重大部署着力推进公开</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bCs/>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一是聚焦乡村振兴、新旧动能转换做好公开。乡村振兴方面：</w:t>
      </w:r>
      <w:r>
        <w:rPr>
          <w:rFonts w:hint="eastAsia" w:ascii="仿宋" w:hAnsi="仿宋" w:eastAsia="仿宋" w:cs="仿宋"/>
          <w:b w:val="0"/>
          <w:bCs/>
          <w:i w:val="0"/>
          <w:caps w:val="0"/>
          <w:color w:val="auto"/>
          <w:spacing w:val="0"/>
          <w:sz w:val="32"/>
          <w:szCs w:val="32"/>
          <w:lang w:val="en-US" w:eastAsia="zh-CN"/>
        </w:rPr>
        <w:t>及时发</w:t>
      </w:r>
      <w:r>
        <w:rPr>
          <w:rFonts w:hint="eastAsia" w:ascii="仿宋" w:hAnsi="仿宋" w:eastAsia="仿宋" w:cs="仿宋"/>
          <w:b w:val="0"/>
          <w:bCs/>
          <w:i w:val="0"/>
          <w:caps w:val="0"/>
          <w:color w:val="auto"/>
          <w:spacing w:val="0"/>
          <w:sz w:val="32"/>
          <w:szCs w:val="32"/>
          <w:lang w:eastAsia="zh-CN"/>
        </w:rPr>
        <w:t>布了</w:t>
      </w:r>
      <w:r>
        <w:rPr>
          <w:rFonts w:hint="default" w:ascii="仿宋" w:hAnsi="仿宋" w:eastAsia="仿宋" w:cs="仿宋"/>
          <w:b w:val="0"/>
          <w:bCs/>
          <w:i w:val="0"/>
          <w:caps w:val="0"/>
          <w:color w:val="auto"/>
          <w:spacing w:val="0"/>
          <w:sz w:val="32"/>
          <w:szCs w:val="32"/>
          <w:lang w:val="en-US" w:eastAsia="zh-CN"/>
        </w:rPr>
        <w:t>《关于稳步推进农村集体产权制度改革的</w:t>
      </w:r>
      <w:r>
        <w:drawing>
          <wp:anchor distT="0" distB="0" distL="114300" distR="114300" simplePos="0" relativeHeight="281822208" behindDoc="1" locked="0" layoutInCell="1" allowOverlap="1">
            <wp:simplePos x="0" y="0"/>
            <wp:positionH relativeFrom="column">
              <wp:posOffset>60960</wp:posOffset>
            </wp:positionH>
            <wp:positionV relativeFrom="paragraph">
              <wp:posOffset>3651885</wp:posOffset>
            </wp:positionV>
            <wp:extent cx="4099560" cy="2718435"/>
            <wp:effectExtent l="28575" t="9525" r="43815" b="34290"/>
            <wp:wrapTight wrapText="bothSides">
              <wp:wrapPolygon>
                <wp:start x="-151" y="-227"/>
                <wp:lineTo x="-151" y="21721"/>
                <wp:lineTo x="21630" y="21721"/>
                <wp:lineTo x="21630" y="-227"/>
                <wp:lineTo x="-151" y="-227"/>
              </wp:wrapPolygon>
            </wp:wrapTight>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8"/>
                    <a:stretch>
                      <a:fillRect/>
                    </a:stretch>
                  </pic:blipFill>
                  <pic:spPr>
                    <a:xfrm>
                      <a:off x="0" y="0"/>
                      <a:ext cx="4099560" cy="2718435"/>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default" w:ascii="仿宋" w:hAnsi="仿宋" w:eastAsia="仿宋" w:cs="仿宋"/>
          <w:b w:val="0"/>
          <w:bCs/>
          <w:i w:val="0"/>
          <w:caps w:val="0"/>
          <w:color w:val="auto"/>
          <w:spacing w:val="0"/>
          <w:sz w:val="32"/>
          <w:szCs w:val="32"/>
          <w:lang w:val="en-US" w:eastAsia="zh-CN"/>
        </w:rPr>
        <w:t>实施意见》</w:t>
      </w:r>
      <w:r>
        <w:rPr>
          <w:rFonts w:hint="eastAsia" w:ascii="仿宋" w:hAnsi="仿宋" w:eastAsia="仿宋" w:cs="仿宋"/>
          <w:b w:val="0"/>
          <w:bCs/>
          <w:i w:val="0"/>
          <w:caps w:val="0"/>
          <w:color w:val="auto"/>
          <w:spacing w:val="0"/>
          <w:sz w:val="32"/>
          <w:szCs w:val="32"/>
          <w:lang w:val="en-US" w:eastAsia="zh-CN"/>
        </w:rPr>
        <w:t>《</w:t>
      </w:r>
      <w:r>
        <w:rPr>
          <w:rFonts w:hint="default" w:ascii="仿宋" w:hAnsi="仿宋" w:eastAsia="仿宋" w:cs="仿宋"/>
          <w:b w:val="0"/>
          <w:bCs/>
          <w:i w:val="0"/>
          <w:caps w:val="0"/>
          <w:color w:val="auto"/>
          <w:spacing w:val="0"/>
          <w:sz w:val="32"/>
          <w:szCs w:val="32"/>
          <w:lang w:val="en-US" w:eastAsia="zh-CN"/>
        </w:rPr>
        <w:t>关于完善农村土地所有权承包权经营权分置办法的实施意见</w:t>
      </w:r>
      <w:r>
        <w:rPr>
          <w:rFonts w:hint="eastAsia" w:ascii="仿宋" w:hAnsi="仿宋" w:eastAsia="仿宋" w:cs="仿宋"/>
          <w:b w:val="0"/>
          <w:bCs/>
          <w:i w:val="0"/>
          <w:caps w:val="0"/>
          <w:color w:val="auto"/>
          <w:spacing w:val="0"/>
          <w:sz w:val="32"/>
          <w:szCs w:val="32"/>
          <w:lang w:val="en-US" w:eastAsia="zh-CN"/>
        </w:rPr>
        <w:t>》《</w:t>
      </w:r>
      <w:r>
        <w:rPr>
          <w:rFonts w:hint="default" w:ascii="仿宋" w:hAnsi="仿宋" w:eastAsia="仿宋" w:cs="仿宋"/>
          <w:b w:val="0"/>
          <w:bCs/>
          <w:i w:val="0"/>
          <w:caps w:val="0"/>
          <w:color w:val="auto"/>
          <w:spacing w:val="0"/>
          <w:sz w:val="32"/>
          <w:szCs w:val="32"/>
          <w:lang w:val="en-US" w:eastAsia="zh-CN"/>
        </w:rPr>
        <w:t>关于加快构建政策体系培育新型农业经营主体的实施意见</w:t>
      </w:r>
      <w:r>
        <w:rPr>
          <w:rFonts w:hint="eastAsia" w:ascii="仿宋" w:hAnsi="仿宋" w:eastAsia="仿宋" w:cs="仿宋"/>
          <w:b w:val="0"/>
          <w:bCs/>
          <w:i w:val="0"/>
          <w:caps w:val="0"/>
          <w:color w:val="auto"/>
          <w:spacing w:val="0"/>
          <w:sz w:val="32"/>
          <w:szCs w:val="32"/>
          <w:lang w:val="en-US" w:eastAsia="zh-CN"/>
        </w:rPr>
        <w:t>》等一批有关“三农”的重要政策文件；通过政府网站、新闻发布会、广播电台《政风行风热线》直播间、</w:t>
      </w:r>
      <w:r>
        <w:rPr>
          <w:rFonts w:hint="eastAsia" w:ascii="仿宋" w:hAnsi="仿宋" w:eastAsia="仿宋" w:cs="仿宋"/>
          <w:b w:val="0"/>
          <w:bCs/>
          <w:i w:val="0"/>
          <w:caps w:val="0"/>
          <w:color w:val="auto"/>
          <w:spacing w:val="0"/>
          <w:sz w:val="32"/>
          <w:szCs w:val="32"/>
          <w:lang w:eastAsia="zh-CN"/>
        </w:rPr>
        <w:t>媒体访谈</w:t>
      </w:r>
      <w:r>
        <w:rPr>
          <w:rFonts w:hint="eastAsia" w:ascii="仿宋" w:hAnsi="仿宋" w:eastAsia="仿宋" w:cs="仿宋"/>
          <w:b w:val="0"/>
          <w:bCs/>
          <w:i w:val="0"/>
          <w:caps w:val="0"/>
          <w:color w:val="auto"/>
          <w:spacing w:val="0"/>
          <w:sz w:val="32"/>
          <w:szCs w:val="32"/>
          <w:lang w:val="en-US" w:eastAsia="zh-CN"/>
        </w:rPr>
        <w:t>等形式多渠道、多角度对</w:t>
      </w:r>
      <w:r>
        <w:rPr>
          <w:rFonts w:hint="eastAsia" w:ascii="仿宋" w:hAnsi="仿宋" w:eastAsia="仿宋" w:cs="仿宋"/>
          <w:b w:val="0"/>
          <w:bCs/>
          <w:i w:val="0"/>
          <w:caps w:val="0"/>
          <w:color w:val="auto"/>
          <w:spacing w:val="0"/>
          <w:sz w:val="32"/>
          <w:szCs w:val="32"/>
          <w:lang w:eastAsia="zh-CN"/>
        </w:rPr>
        <w:t>农村集体产权制度改革</w:t>
      </w:r>
      <w:r>
        <w:rPr>
          <w:rFonts w:hint="eastAsia" w:ascii="仿宋" w:hAnsi="仿宋" w:eastAsia="仿宋" w:cs="仿宋"/>
          <w:b w:val="0"/>
          <w:bCs/>
          <w:i w:val="0"/>
          <w:caps w:val="0"/>
          <w:color w:val="auto"/>
          <w:spacing w:val="0"/>
          <w:sz w:val="32"/>
          <w:szCs w:val="32"/>
          <w:lang w:val="en-US" w:eastAsia="zh-CN"/>
        </w:rPr>
        <w:t>及知名农产品品牌等</w:t>
      </w:r>
      <w:r>
        <w:rPr>
          <w:rFonts w:hint="eastAsia" w:ascii="仿宋" w:hAnsi="仿宋" w:eastAsia="仿宋" w:cs="仿宋"/>
          <w:b w:val="0"/>
          <w:bCs/>
          <w:i w:val="0"/>
          <w:caps w:val="0"/>
          <w:color w:val="auto"/>
          <w:spacing w:val="0"/>
          <w:sz w:val="32"/>
          <w:szCs w:val="32"/>
          <w:lang w:eastAsia="zh-CN"/>
        </w:rPr>
        <w:t>相关政策文件</w:t>
      </w:r>
      <w:r>
        <w:rPr>
          <w:rFonts w:hint="eastAsia" w:ascii="仿宋" w:hAnsi="仿宋" w:eastAsia="仿宋" w:cs="仿宋"/>
          <w:b w:val="0"/>
          <w:bCs/>
          <w:i w:val="0"/>
          <w:caps w:val="0"/>
          <w:color w:val="auto"/>
          <w:spacing w:val="0"/>
          <w:sz w:val="32"/>
          <w:szCs w:val="32"/>
          <w:lang w:val="en-US" w:eastAsia="zh-CN"/>
        </w:rPr>
        <w:t>进行解读；市农业局出版</w:t>
      </w:r>
      <w:r>
        <w:rPr>
          <w:rFonts w:hint="eastAsia" w:ascii="仿宋" w:hAnsi="仿宋" w:eastAsia="仿宋" w:cs="仿宋"/>
          <w:b w:val="0"/>
          <w:bCs/>
          <w:i w:val="0"/>
          <w:caps w:val="0"/>
          <w:color w:val="auto"/>
          <w:spacing w:val="0"/>
          <w:sz w:val="32"/>
          <w:szCs w:val="32"/>
          <w:lang w:eastAsia="zh-CN"/>
        </w:rPr>
        <w:t>《淄博农业》杂志，大力宣传农业政策法规、政府涉农工作动态等，201</w:t>
      </w:r>
      <w:r>
        <w:rPr>
          <w:rFonts w:hint="eastAsia" w:ascii="仿宋" w:hAnsi="仿宋" w:eastAsia="仿宋" w:cs="仿宋"/>
          <w:b w:val="0"/>
          <w:bCs/>
          <w:i w:val="0"/>
          <w:caps w:val="0"/>
          <w:color w:val="auto"/>
          <w:spacing w:val="0"/>
          <w:sz w:val="32"/>
          <w:szCs w:val="32"/>
          <w:lang w:val="en-US" w:eastAsia="zh-CN"/>
        </w:rPr>
        <w:t>8</w:t>
      </w:r>
      <w:r>
        <w:rPr>
          <w:rFonts w:hint="eastAsia" w:ascii="仿宋" w:hAnsi="仿宋" w:eastAsia="仿宋" w:cs="仿宋"/>
          <w:b w:val="0"/>
          <w:bCs/>
          <w:i w:val="0"/>
          <w:caps w:val="0"/>
          <w:color w:val="auto"/>
          <w:spacing w:val="0"/>
          <w:sz w:val="32"/>
          <w:szCs w:val="32"/>
          <w:lang w:eastAsia="zh-CN"/>
        </w:rPr>
        <w:t>年</w:t>
      </w:r>
      <w:r>
        <w:rPr>
          <w:rFonts w:hint="eastAsia" w:ascii="仿宋" w:hAnsi="仿宋" w:eastAsia="仿宋" w:cs="仿宋"/>
          <w:b w:val="0"/>
          <w:bCs/>
          <w:i w:val="0"/>
          <w:caps w:val="0"/>
          <w:color w:val="auto"/>
          <w:spacing w:val="0"/>
          <w:sz w:val="32"/>
          <w:szCs w:val="32"/>
          <w:lang w:val="en-US" w:eastAsia="zh-CN"/>
        </w:rPr>
        <w:t>共出版发行5期</w:t>
      </w:r>
      <w:r>
        <w:rPr>
          <w:rFonts w:hint="eastAsia" w:ascii="仿宋" w:hAnsi="仿宋" w:eastAsia="仿宋" w:cs="仿宋"/>
          <w:b w:val="0"/>
          <w:bCs/>
          <w:i w:val="0"/>
          <w:caps w:val="0"/>
          <w:color w:val="auto"/>
          <w:spacing w:val="0"/>
          <w:sz w:val="32"/>
          <w:szCs w:val="32"/>
          <w:lang w:eastAsia="zh-CN"/>
        </w:rPr>
        <w:t>。</w:t>
      </w:r>
      <w:r>
        <w:rPr>
          <w:rFonts w:hint="eastAsia" w:ascii="仿宋" w:hAnsi="仿宋" w:eastAsia="仿宋" w:cs="仿宋"/>
          <w:b/>
          <w:bCs w:val="0"/>
          <w:i w:val="0"/>
          <w:caps w:val="0"/>
          <w:color w:val="auto"/>
          <w:spacing w:val="0"/>
          <w:sz w:val="32"/>
          <w:szCs w:val="32"/>
          <w:lang w:eastAsia="zh-CN"/>
        </w:rPr>
        <w:t>新旧动能转换方面：</w:t>
      </w:r>
      <w:r>
        <w:rPr>
          <w:rFonts w:hint="eastAsia" w:ascii="仿宋" w:hAnsi="仿宋" w:eastAsia="仿宋" w:cs="仿宋"/>
          <w:b w:val="0"/>
          <w:bCs/>
          <w:i w:val="0"/>
          <w:caps w:val="0"/>
          <w:color w:val="auto"/>
          <w:spacing w:val="0"/>
          <w:sz w:val="32"/>
          <w:szCs w:val="32"/>
          <w:lang w:eastAsia="zh-CN"/>
        </w:rPr>
        <w:t>发布了《2018年全市技术改造突破年实施方案》《2018年淄博市招商引资、技术改造重点项目要素保障实施方案》等一批新旧动能转换政策文件，并充分发挥报纸、广播、电视等主流媒体以及微博、微信、客户端等新媒体作用，采取专题报道、企业访谈、典型宣传等多种形式，引导社会关注实体经济，引导企业重视技术改造，营造全社会关心、重视、支持新旧动能转换的良好氛围。市发展改革委网站设置“市新旧动能转换重大工程”专栏，实时公开我市新旧动能转换政策措施；</w:t>
      </w:r>
    </w:p>
    <w:p>
      <w:pPr>
        <w:rPr>
          <w:rFonts w:hint="eastAsia" w:ascii="仿宋" w:hAnsi="仿宋" w:eastAsia="仿宋" w:cs="仿宋"/>
          <w:b w:val="0"/>
          <w:bCs/>
          <w:i w:val="0"/>
          <w:caps w:val="0"/>
          <w:color w:val="auto"/>
          <w:spacing w:val="0"/>
          <w:sz w:val="32"/>
          <w:szCs w:val="32"/>
          <w:lang w:eastAsia="zh-CN"/>
        </w:rPr>
      </w:pPr>
      <w:r>
        <w:rPr>
          <w:rFonts w:hint="eastAsia" w:ascii="仿宋" w:hAnsi="仿宋" w:eastAsia="仿宋" w:cs="仿宋"/>
          <w:b w:val="0"/>
          <w:bCs/>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bCs/>
          <w:i w:val="0"/>
          <w:caps w:val="0"/>
          <w:color w:val="auto"/>
          <w:spacing w:val="0"/>
          <w:sz w:val="32"/>
          <w:szCs w:val="32"/>
          <w:lang w:val="en-US" w:eastAsia="zh-CN"/>
        </w:rPr>
      </w:pPr>
      <w:r>
        <w:drawing>
          <wp:anchor distT="0" distB="0" distL="114300" distR="114300" simplePos="0" relativeHeight="1022292992" behindDoc="1" locked="0" layoutInCell="1" allowOverlap="1">
            <wp:simplePos x="0" y="0"/>
            <wp:positionH relativeFrom="column">
              <wp:posOffset>64135</wp:posOffset>
            </wp:positionH>
            <wp:positionV relativeFrom="paragraph">
              <wp:posOffset>853440</wp:posOffset>
            </wp:positionV>
            <wp:extent cx="3047365" cy="3786505"/>
            <wp:effectExtent l="28575" t="28575" r="0" b="0"/>
            <wp:wrapTight wrapText="bothSides">
              <wp:wrapPolygon>
                <wp:start x="-203" y="-163"/>
                <wp:lineTo x="-203" y="21680"/>
                <wp:lineTo x="21672" y="21680"/>
                <wp:lineTo x="21672" y="-163"/>
                <wp:lineTo x="-203" y="-163"/>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3047365" cy="3786505"/>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eastAsia="zh-CN"/>
        </w:rPr>
        <w:t>鲁中网《新旧动能转换 淄博要这么干》一张图，对淄博市新旧动能转换的主攻方向、总体布局等内容以图文并茂的形式向公众发布；出刊《淄博新旧动能转换工作简报》，及时宣传我市新旧动能转换最新成果。</w:t>
      </w:r>
    </w:p>
    <w:p>
      <w:pPr>
        <w:keepNext w:val="0"/>
        <w:keepLines w:val="0"/>
        <w:pageBreakBefore w:val="0"/>
        <w:widowControl/>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val="0"/>
          <w:bCs/>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t>二是聚焦“三大攻坚任务”做好</w:t>
      </w:r>
      <w:bookmarkStart w:id="1" w:name="_GoBack"/>
      <w:bookmarkEnd w:id="1"/>
      <w:r>
        <w:rPr>
          <w:rFonts w:hint="eastAsia" w:ascii="仿宋" w:hAnsi="仿宋" w:eastAsia="仿宋" w:cs="仿宋"/>
          <w:b/>
          <w:bCs w:val="0"/>
          <w:i w:val="0"/>
          <w:caps w:val="0"/>
          <w:color w:val="auto"/>
          <w:spacing w:val="0"/>
          <w:sz w:val="32"/>
          <w:szCs w:val="32"/>
          <w:lang w:eastAsia="zh-CN"/>
        </w:rPr>
        <w:t>公开。防范化解重大风险方面：</w:t>
      </w:r>
      <w:r>
        <w:rPr>
          <w:rFonts w:hint="eastAsia" w:ascii="仿宋" w:hAnsi="仿宋" w:eastAsia="仿宋" w:cs="仿宋"/>
          <w:b w:val="0"/>
          <w:bCs/>
          <w:i w:val="0"/>
          <w:caps w:val="0"/>
          <w:color w:val="auto"/>
          <w:spacing w:val="0"/>
          <w:sz w:val="32"/>
          <w:szCs w:val="32"/>
          <w:lang w:val="en-US" w:eastAsia="zh-CN"/>
        </w:rPr>
        <w:t>通过政府网站公告、淄博金融微信公众号“金融微课堂”、举办老年人防范非法集资知识讲座等方式途径，就防范非法集资、开展地方金融领域扫黑除恶专项斗争等有关事项进行公开；通过淄博电视台及时宣传各类金融政策、风险信息；市金融办与周村古商城旅游开发管理有限公司、山东齐山旅游开发有限公司进行合作，开展金融进景区试点工作，扩大金融信息公开与宣传的渠道和实效；市安监局以“安全生产月”活动为载体，开展安全生产群众性宣传活动、宣传咨询日等一系列活动，2018年共展出安全宣传展板750余块，悬挂安全生产宣传标语120余幅，设置安全生产咨询投诉台50余个，累计发放安全宣传资料35000余份；</w:t>
      </w:r>
      <w:r>
        <w:rPr>
          <w:rFonts w:hint="eastAsia" w:ascii="仿宋" w:hAnsi="仿宋" w:eastAsia="仿宋" w:cs="仿宋"/>
          <w:b w:val="0"/>
          <w:bCs/>
          <w:i w:val="0"/>
          <w:caps w:val="0"/>
          <w:color w:val="auto"/>
          <w:spacing w:val="0"/>
          <w:sz w:val="32"/>
          <w:szCs w:val="32"/>
          <w:lang w:eastAsia="zh-CN"/>
        </w:rPr>
        <w:t>市公安局组建专家团队，</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br w:type="page"/>
      </w:r>
    </w:p>
    <w:p>
      <w:pPr>
        <w:widowControl/>
        <w:spacing w:line="560" w:lineRule="exact"/>
        <w:rPr>
          <w:rFonts w:hint="eastAsia" w:ascii="仿宋_GB2312" w:hAnsi="仿宋_GB2312" w:eastAsia="仿宋_GB2312" w:cs="仿宋_GB2312"/>
          <w:color w:val="auto"/>
          <w:kern w:val="0"/>
          <w:sz w:val="32"/>
          <w:szCs w:val="32"/>
          <w:lang w:val="en-US" w:eastAsia="zh-CN"/>
        </w:rPr>
      </w:pPr>
      <w:r>
        <w:drawing>
          <wp:anchor distT="0" distB="0" distL="114300" distR="114300" simplePos="0" relativeHeight="285571072" behindDoc="1" locked="0" layoutInCell="1" allowOverlap="1">
            <wp:simplePos x="0" y="0"/>
            <wp:positionH relativeFrom="column">
              <wp:posOffset>55880</wp:posOffset>
            </wp:positionH>
            <wp:positionV relativeFrom="paragraph">
              <wp:posOffset>2241550</wp:posOffset>
            </wp:positionV>
            <wp:extent cx="4204335" cy="2441575"/>
            <wp:effectExtent l="28575" t="28575" r="91440" b="44450"/>
            <wp:wrapTight wrapText="bothSides">
              <wp:wrapPolygon>
                <wp:start x="-147" y="-253"/>
                <wp:lineTo x="-147" y="21656"/>
                <wp:lineTo x="21678" y="21656"/>
                <wp:lineTo x="21678" y="-253"/>
                <wp:lineTo x="-147" y="-253"/>
              </wp:wrapPolygon>
            </wp:wrapTight>
            <wp:docPr id="4" name="图片 4" descr="1553745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53745186(1)"/>
                    <pic:cNvPicPr>
                      <a:picLocks noChangeAspect="1"/>
                    </pic:cNvPicPr>
                  </pic:nvPicPr>
                  <pic:blipFill>
                    <a:blip r:embed="rId30"/>
                    <a:stretch>
                      <a:fillRect/>
                    </a:stretch>
                  </pic:blipFill>
                  <pic:spPr>
                    <a:xfrm>
                      <a:off x="0" y="0"/>
                      <a:ext cx="4204335" cy="2441575"/>
                    </a:xfrm>
                    <a:prstGeom prst="rect">
                      <a:avLst/>
                    </a:prstGeom>
                    <a:ln w="28575" cmpd="dbl">
                      <a:solidFill>
                        <a:schemeClr val="accent1">
                          <a:shade val="50000"/>
                        </a:schemeClr>
                      </a:solidFill>
                      <a:prstDash val="solid"/>
                    </a:ln>
                  </pic:spPr>
                </pic:pic>
              </a:graphicData>
            </a:graphic>
          </wp:anchor>
        </w:drawing>
      </w:r>
      <w:r>
        <w:drawing>
          <wp:anchor distT="0" distB="0" distL="114300" distR="114300" simplePos="0" relativeHeight="286816256" behindDoc="1" locked="0" layoutInCell="1" allowOverlap="1">
            <wp:simplePos x="0" y="0"/>
            <wp:positionH relativeFrom="column">
              <wp:posOffset>2160270</wp:posOffset>
            </wp:positionH>
            <wp:positionV relativeFrom="paragraph">
              <wp:posOffset>5525135</wp:posOffset>
            </wp:positionV>
            <wp:extent cx="3101975" cy="2873375"/>
            <wp:effectExtent l="28575" t="28575" r="31750" b="31750"/>
            <wp:wrapTight wrapText="bothSides">
              <wp:wrapPolygon>
                <wp:start x="-199" y="-215"/>
                <wp:lineTo x="-199" y="21695"/>
                <wp:lineTo x="21688" y="21695"/>
                <wp:lineTo x="21688" y="-215"/>
                <wp:lineTo x="-199" y="-215"/>
              </wp:wrapPolygon>
            </wp:wrapTight>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1"/>
                    <a:stretch>
                      <a:fillRect/>
                    </a:stretch>
                  </pic:blipFill>
                  <pic:spPr>
                    <a:xfrm>
                      <a:off x="0" y="0"/>
                      <a:ext cx="3101975" cy="2873375"/>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color w:val="auto"/>
          <w:kern w:val="0"/>
          <w:sz w:val="32"/>
          <w:szCs w:val="32"/>
        </w:rPr>
        <w:t>对涉及面广、社会关注度高</w:t>
      </w:r>
      <w:r>
        <w:rPr>
          <w:rFonts w:hint="eastAsia" w:ascii="仿宋_GB2312" w:hAnsi="仿宋_GB2312" w:eastAsia="仿宋_GB2312" w:cs="仿宋_GB2312"/>
          <w:color w:val="auto"/>
          <w:kern w:val="0"/>
          <w:sz w:val="32"/>
          <w:szCs w:val="32"/>
          <w:lang w:eastAsia="zh-CN"/>
        </w:rPr>
        <w:t>和</w:t>
      </w:r>
      <w:r>
        <w:rPr>
          <w:rFonts w:hint="eastAsia" w:ascii="仿宋_GB2312" w:hAnsi="仿宋_GB2312" w:eastAsia="仿宋_GB2312" w:cs="仿宋_GB2312"/>
          <w:color w:val="auto"/>
          <w:kern w:val="0"/>
          <w:sz w:val="32"/>
          <w:szCs w:val="32"/>
        </w:rPr>
        <w:t>专业性比较强的政策进行解读，通过政务网站、警务微博、警务微信</w:t>
      </w:r>
      <w:r>
        <w:rPr>
          <w:rFonts w:hint="eastAsia" w:ascii="仿宋_GB2312" w:hAnsi="仿宋_GB2312" w:eastAsia="仿宋_GB2312" w:cs="仿宋_GB2312"/>
          <w:color w:val="auto"/>
          <w:kern w:val="0"/>
          <w:sz w:val="32"/>
          <w:szCs w:val="32"/>
          <w:lang w:eastAsia="zh-CN"/>
        </w:rPr>
        <w:t>等渠道</w:t>
      </w:r>
      <w:r>
        <w:rPr>
          <w:rFonts w:hint="eastAsia" w:ascii="仿宋_GB2312" w:hAnsi="仿宋_GB2312" w:eastAsia="仿宋_GB2312" w:cs="仿宋_GB2312"/>
          <w:color w:val="auto"/>
          <w:kern w:val="0"/>
          <w:sz w:val="32"/>
          <w:szCs w:val="32"/>
        </w:rPr>
        <w:t>及时发布解读资料</w:t>
      </w:r>
      <w:r>
        <w:rPr>
          <w:rFonts w:hint="eastAsia" w:ascii="仿宋_GB2312" w:hAnsi="仿宋_GB2312" w:eastAsia="仿宋_GB2312" w:cs="仿宋_GB2312"/>
          <w:color w:val="auto"/>
          <w:kern w:val="0"/>
          <w:sz w:val="32"/>
          <w:szCs w:val="32"/>
          <w:lang w:eastAsia="zh-CN"/>
        </w:rPr>
        <w:t>；年内</w:t>
      </w:r>
      <w:r>
        <w:rPr>
          <w:rFonts w:hint="eastAsia" w:ascii="仿宋_GB2312" w:hAnsi="仿宋_GB2312" w:eastAsia="仿宋_GB2312" w:cs="仿宋_GB2312"/>
          <w:color w:val="auto"/>
          <w:kern w:val="0"/>
          <w:sz w:val="32"/>
          <w:szCs w:val="32"/>
        </w:rPr>
        <w:t>举</w:t>
      </w:r>
      <w:r>
        <w:rPr>
          <w:rFonts w:hint="eastAsia" w:ascii="仿宋_GB2312" w:hAnsi="仿宋_GB2312" w:eastAsia="仿宋_GB2312" w:cs="仿宋_GB2312"/>
          <w:color w:val="auto"/>
          <w:kern w:val="0"/>
          <w:sz w:val="32"/>
          <w:szCs w:val="32"/>
          <w:lang w:eastAsia="zh-CN"/>
        </w:rPr>
        <w:t>办</w:t>
      </w:r>
      <w:r>
        <w:rPr>
          <w:rFonts w:hint="eastAsia" w:ascii="仿宋_GB2312" w:hAnsi="仿宋_GB2312" w:eastAsia="仿宋_GB2312" w:cs="仿宋_GB2312"/>
          <w:color w:val="auto"/>
          <w:kern w:val="0"/>
          <w:sz w:val="32"/>
          <w:szCs w:val="32"/>
        </w:rPr>
        <w:t>5期警民在线活动，对开展打击食品药品环境领域违法犯罪</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网络电信诈骗</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网络传销犯罪</w:t>
      </w:r>
      <w:r>
        <w:rPr>
          <w:rFonts w:hint="eastAsia" w:ascii="仿宋_GB2312" w:hAnsi="仿宋_GB2312" w:eastAsia="仿宋_GB2312" w:cs="仿宋_GB2312"/>
          <w:color w:val="auto"/>
          <w:kern w:val="0"/>
          <w:sz w:val="32"/>
          <w:szCs w:val="32"/>
          <w:lang w:eastAsia="zh-CN"/>
        </w:rPr>
        <w:t>和</w:t>
      </w:r>
      <w:r>
        <w:rPr>
          <w:rFonts w:hint="eastAsia" w:ascii="仿宋_GB2312" w:hAnsi="仿宋_GB2312" w:eastAsia="仿宋_GB2312" w:cs="仿宋_GB2312"/>
          <w:color w:val="auto"/>
          <w:kern w:val="0"/>
          <w:sz w:val="32"/>
          <w:szCs w:val="32"/>
        </w:rPr>
        <w:t>网吧安全管理</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易制毒化学品购销和运输管理</w:t>
      </w:r>
      <w:r>
        <w:rPr>
          <w:rFonts w:hint="eastAsia" w:ascii="仿宋_GB2312" w:hAnsi="仿宋_GB2312" w:eastAsia="仿宋_GB2312" w:cs="仿宋_GB2312"/>
          <w:color w:val="auto"/>
          <w:kern w:val="0"/>
          <w:sz w:val="32"/>
          <w:szCs w:val="32"/>
          <w:lang w:eastAsia="zh-CN"/>
        </w:rPr>
        <w:t>等专项行动</w:t>
      </w:r>
      <w:r>
        <w:rPr>
          <w:rFonts w:hint="eastAsia" w:ascii="仿宋_GB2312" w:hAnsi="仿宋_GB2312" w:eastAsia="仿宋_GB2312" w:cs="仿宋_GB2312"/>
          <w:color w:val="auto"/>
          <w:kern w:val="0"/>
          <w:sz w:val="32"/>
          <w:szCs w:val="32"/>
        </w:rPr>
        <w:t>进行</w:t>
      </w:r>
      <w:r>
        <w:rPr>
          <w:rFonts w:hint="eastAsia" w:ascii="仿宋_GB2312" w:hAnsi="仿宋_GB2312" w:eastAsia="仿宋_GB2312" w:cs="仿宋_GB2312"/>
          <w:color w:val="auto"/>
          <w:kern w:val="0"/>
          <w:sz w:val="32"/>
          <w:szCs w:val="32"/>
          <w:lang w:eastAsia="zh-CN"/>
        </w:rPr>
        <w:t>宣传</w:t>
      </w:r>
      <w:r>
        <w:rPr>
          <w:rFonts w:hint="eastAsia" w:ascii="仿宋_GB2312" w:hAnsi="仿宋_GB2312" w:eastAsia="仿宋_GB2312" w:cs="仿宋_GB2312"/>
          <w:color w:val="auto"/>
          <w:kern w:val="0"/>
          <w:sz w:val="32"/>
          <w:szCs w:val="32"/>
        </w:rPr>
        <w:t>解读。</w:t>
      </w:r>
      <w:r>
        <w:rPr>
          <w:rFonts w:hint="eastAsia" w:ascii="仿宋_GB2312" w:hAnsi="仿宋_GB2312" w:eastAsia="仿宋_GB2312" w:cs="仿宋_GB2312"/>
          <w:b/>
          <w:bCs/>
          <w:color w:val="auto"/>
          <w:kern w:val="0"/>
          <w:sz w:val="32"/>
          <w:szCs w:val="32"/>
          <w:lang w:eastAsia="zh-CN"/>
        </w:rPr>
        <w:t>精准扶贫方面：</w:t>
      </w:r>
      <w:r>
        <w:rPr>
          <w:rFonts w:hint="eastAsia" w:ascii="仿宋_GB2312" w:hAnsi="仿宋_GB2312" w:eastAsia="仿宋_GB2312" w:cs="仿宋_GB2312"/>
          <w:color w:val="auto"/>
          <w:kern w:val="0"/>
          <w:sz w:val="32"/>
          <w:szCs w:val="32"/>
          <w:lang w:eastAsia="zh-CN"/>
        </w:rPr>
        <w:t>市政府网站新设“扶贫政策”“扶贫成效（贫困退出）”“扶贫资金”“项目信息”“减贫责任书”等栏目，对财政专项扶贫资金分配结果、脱贫攻坚规划、年度扶贫资金项目计划安排及完成情况、项目实施情况等内容逐一进行公开，各镇、街道、村委会等利用固定公开栏实时公开扶贫信息。</w:t>
      </w:r>
      <w:r>
        <w:rPr>
          <w:rFonts w:hint="eastAsia" w:ascii="仿宋_GB2312" w:hAnsi="仿宋_GB2312" w:eastAsia="仿宋_GB2312" w:cs="仿宋_GB2312"/>
          <w:b/>
          <w:bCs/>
          <w:color w:val="auto"/>
          <w:kern w:val="0"/>
          <w:sz w:val="32"/>
          <w:szCs w:val="32"/>
          <w:lang w:eastAsia="zh-CN"/>
        </w:rPr>
        <w:t>污染防治方面：</w:t>
      </w:r>
      <w:r>
        <w:rPr>
          <w:rFonts w:hint="eastAsia" w:ascii="仿宋_GB2312" w:hAnsi="仿宋_GB2312" w:eastAsia="仿宋_GB2312" w:cs="仿宋_GB2312"/>
          <w:color w:val="auto"/>
          <w:kern w:val="0"/>
          <w:sz w:val="32"/>
          <w:szCs w:val="32"/>
          <w:lang w:val="en-US" w:eastAsia="zh-CN"/>
        </w:rPr>
        <w:t>通过市环保局网站“法律法规”“环境标准”栏目公开环境污染防治和生态保护政策措施，国家、省、市环保标准；通过</w:t>
      </w:r>
    </w:p>
    <w:p>
      <w:pP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br w:type="page"/>
      </w:r>
    </w:p>
    <w:p>
      <w:pPr>
        <w:widowControl/>
        <w:spacing w:line="560" w:lineRule="exact"/>
        <w:rPr>
          <w:rFonts w:hint="default" w:ascii="仿宋_GB2312" w:hAnsi="仿宋_GB2312" w:eastAsia="仿宋_GB2312" w:cs="仿宋_GB2312"/>
          <w:color w:val="auto"/>
          <w:kern w:val="0"/>
          <w:sz w:val="32"/>
          <w:szCs w:val="32"/>
          <w:lang w:val="en-US" w:eastAsia="zh-CN"/>
        </w:rPr>
      </w:pPr>
      <w:r>
        <w:drawing>
          <wp:anchor distT="0" distB="0" distL="114300" distR="114300" simplePos="0" relativeHeight="1022290944" behindDoc="1" locked="0" layoutInCell="1" allowOverlap="1">
            <wp:simplePos x="0" y="0"/>
            <wp:positionH relativeFrom="column">
              <wp:posOffset>2041525</wp:posOffset>
            </wp:positionH>
            <wp:positionV relativeFrom="paragraph">
              <wp:posOffset>895985</wp:posOffset>
            </wp:positionV>
            <wp:extent cx="3171825" cy="2523490"/>
            <wp:effectExtent l="28575" t="28575" r="38100" b="38735"/>
            <wp:wrapTight wrapText="bothSides">
              <wp:wrapPolygon>
                <wp:start x="-195" y="-245"/>
                <wp:lineTo x="-195" y="21605"/>
                <wp:lineTo x="21730" y="21605"/>
                <wp:lineTo x="21730" y="-245"/>
                <wp:lineTo x="-195" y="-245"/>
              </wp:wrapPolygon>
            </wp:wrapTight>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2"/>
                    <a:stretch>
                      <a:fillRect/>
                    </a:stretch>
                  </pic:blipFill>
                  <pic:spPr>
                    <a:xfrm>
                      <a:off x="0" y="0"/>
                      <a:ext cx="3171825" cy="2523490"/>
                    </a:xfrm>
                    <a:prstGeom prst="rect">
                      <a:avLst/>
                    </a:prstGeom>
                    <a:noFill/>
                    <a:ln w="28575" cmpd="dbl">
                      <a:solidFill>
                        <a:schemeClr val="accent1">
                          <a:shade val="50000"/>
                        </a:schemeClr>
                      </a:solidFill>
                      <a:prstDash val="solid"/>
                    </a:ln>
                  </pic:spPr>
                </pic:pic>
              </a:graphicData>
            </a:graphic>
          </wp:anchor>
        </w:drawing>
      </w:r>
      <w:r>
        <w:rPr>
          <w:rFonts w:hint="eastAsia" w:ascii="仿宋_GB2312" w:hAnsi="仿宋_GB2312" w:eastAsia="仿宋_GB2312" w:cs="仿宋_GB2312"/>
          <w:color w:val="auto"/>
          <w:kern w:val="0"/>
          <w:sz w:val="32"/>
          <w:szCs w:val="32"/>
          <w:lang w:val="en-US" w:eastAsia="zh-CN"/>
        </w:rPr>
        <w:t>市环保局网站“今日视点”栏目对空气环境变化、重污染天气等事项进行解读分析；通过市政府网站专栏公开中央、省环境保护督察回头看问题整改和典型案件查处情况，其中公开《</w:t>
      </w:r>
      <w:r>
        <w:rPr>
          <w:rFonts w:hint="eastAsia" w:ascii="仿宋_GB2312" w:hAnsi="仿宋_GB2312" w:eastAsia="仿宋_GB2312" w:cs="仿宋_GB2312"/>
          <w:color w:val="auto"/>
          <w:kern w:val="0"/>
          <w:sz w:val="32"/>
          <w:szCs w:val="32"/>
          <w:lang w:val="en-US" w:eastAsia="zh-CN"/>
        </w:rPr>
        <w:fldChar w:fldCharType="begin"/>
      </w:r>
      <w:r>
        <w:rPr>
          <w:rFonts w:hint="eastAsia" w:ascii="仿宋_GB2312" w:hAnsi="仿宋_GB2312" w:eastAsia="仿宋_GB2312" w:cs="仿宋_GB2312"/>
          <w:color w:val="auto"/>
          <w:kern w:val="0"/>
          <w:sz w:val="32"/>
          <w:szCs w:val="32"/>
          <w:lang w:val="en-US" w:eastAsia="zh-CN"/>
        </w:rPr>
        <w:instrText xml:space="preserve"> HYPERLINK "http://www.zibo.gov.cn/art/2018/11/12/art_8548_1536094.html" \o "中央生态环境保护督察\“回头看\”转办件边督边改信息公开情况一览表（第二批·淄博市）" \t "http://www.zibo.gov.cn/col/col8548/_blank" </w:instrText>
      </w:r>
      <w:r>
        <w:rPr>
          <w:rFonts w:hint="eastAsia" w:ascii="仿宋_GB2312" w:hAnsi="仿宋_GB2312" w:eastAsia="仿宋_GB2312" w:cs="仿宋_GB2312"/>
          <w:color w:val="auto"/>
          <w:kern w:val="0"/>
          <w:sz w:val="32"/>
          <w:szCs w:val="32"/>
          <w:lang w:val="en-US" w:eastAsia="zh-CN"/>
        </w:rPr>
        <w:fldChar w:fldCharType="separate"/>
      </w:r>
      <w:r>
        <w:rPr>
          <w:rFonts w:hint="eastAsia" w:ascii="仿宋_GB2312" w:hAnsi="仿宋_GB2312" w:eastAsia="仿宋_GB2312" w:cs="仿宋_GB2312"/>
          <w:color w:val="auto"/>
          <w:kern w:val="0"/>
          <w:sz w:val="32"/>
          <w:szCs w:val="32"/>
          <w:lang w:val="en-US" w:eastAsia="zh-CN"/>
        </w:rPr>
        <w:t>中央生态环境保护督察“回头看”转办件边督边改信息一览表</w:t>
      </w:r>
      <w:r>
        <w:rPr>
          <w:rFonts w:hint="eastAsia" w:ascii="仿宋_GB2312" w:hAnsi="仿宋_GB2312" w:eastAsia="仿宋_GB2312" w:cs="仿宋_GB2312"/>
          <w:color w:val="auto"/>
          <w:kern w:val="0"/>
          <w:sz w:val="32"/>
          <w:szCs w:val="32"/>
          <w:lang w:val="en-US" w:eastAsia="zh-CN"/>
        </w:rPr>
        <w:fldChar w:fldCharType="end"/>
      </w:r>
      <w:r>
        <w:rPr>
          <w:rFonts w:hint="eastAsia" w:ascii="仿宋_GB2312" w:hAnsi="仿宋_GB2312" w:eastAsia="仿宋_GB2312" w:cs="仿宋_GB2312"/>
          <w:color w:val="auto"/>
          <w:kern w:val="0"/>
          <w:sz w:val="32"/>
          <w:szCs w:val="32"/>
          <w:lang w:val="en-US" w:eastAsia="zh-CN"/>
        </w:rPr>
        <w:t>》32批，《</w:t>
      </w:r>
      <w:r>
        <w:rPr>
          <w:rFonts w:hint="eastAsia" w:ascii="仿宋_GB2312" w:hAnsi="仿宋_GB2312" w:eastAsia="仿宋_GB2312" w:cs="仿宋_GB2312"/>
          <w:color w:val="auto"/>
          <w:kern w:val="0"/>
          <w:sz w:val="32"/>
          <w:szCs w:val="32"/>
          <w:lang w:val="en-US" w:eastAsia="zh-CN"/>
        </w:rPr>
        <w:fldChar w:fldCharType="begin"/>
      </w:r>
      <w:r>
        <w:rPr>
          <w:rFonts w:hint="eastAsia" w:ascii="仿宋_GB2312" w:hAnsi="仿宋_GB2312" w:eastAsia="仿宋_GB2312" w:cs="仿宋_GB2312"/>
          <w:color w:val="auto"/>
          <w:kern w:val="0"/>
          <w:sz w:val="32"/>
          <w:szCs w:val="32"/>
          <w:lang w:val="en-US" w:eastAsia="zh-CN"/>
        </w:rPr>
        <w:instrText xml:space="preserve"> HYPERLINK "http://www.zibo.gov.cn/art/2018/12/3/art_8549_1557551.html" \o "中央第三生态环境保护督察组向我市转办第三十一批群众信访举报件" \t "http://www.zibo.gov.cn/col/col8549/_blank" </w:instrText>
      </w:r>
      <w:r>
        <w:rPr>
          <w:rFonts w:hint="eastAsia" w:ascii="仿宋_GB2312" w:hAnsi="仿宋_GB2312" w:eastAsia="仿宋_GB2312" w:cs="仿宋_GB2312"/>
          <w:color w:val="auto"/>
          <w:kern w:val="0"/>
          <w:sz w:val="32"/>
          <w:szCs w:val="32"/>
          <w:lang w:val="en-US" w:eastAsia="zh-CN"/>
        </w:rPr>
        <w:fldChar w:fldCharType="separate"/>
      </w:r>
      <w:r>
        <w:rPr>
          <w:rFonts w:hint="eastAsia" w:ascii="仿宋_GB2312" w:hAnsi="仿宋_GB2312" w:eastAsia="仿宋_GB2312" w:cs="仿宋_GB2312"/>
          <w:color w:val="auto"/>
          <w:kern w:val="0"/>
          <w:sz w:val="32"/>
          <w:szCs w:val="32"/>
          <w:lang w:val="en-US" w:eastAsia="zh-CN"/>
        </w:rPr>
        <w:t>中央第三生态环境保护督察组向我市转办</w:t>
      </w:r>
      <w:r>
        <w:rPr>
          <w:rFonts w:hint="eastAsia" w:ascii="仿宋_GB2312" w:hAnsi="仿宋_GB2312" w:eastAsia="仿宋_GB2312" w:cs="仿宋_GB2312"/>
          <w:color w:val="auto"/>
          <w:kern w:val="0"/>
          <w:sz w:val="32"/>
          <w:szCs w:val="32"/>
          <w:lang w:val="en-US" w:eastAsia="zh-CN"/>
        </w:rPr>
        <w:fldChar w:fldCharType="end"/>
      </w:r>
      <w:r>
        <w:rPr>
          <w:rFonts w:hint="eastAsia" w:ascii="仿宋_GB2312" w:hAnsi="仿宋_GB2312" w:eastAsia="仿宋_GB2312" w:cs="仿宋_GB2312"/>
          <w:color w:val="auto"/>
          <w:kern w:val="0"/>
          <w:sz w:val="32"/>
          <w:szCs w:val="32"/>
          <w:lang w:val="en-US" w:eastAsia="zh-CN"/>
        </w:rPr>
        <w:t>群众信访举报件》31批，《</w:t>
      </w:r>
      <w:r>
        <w:rPr>
          <w:rFonts w:hint="eastAsia" w:ascii="仿宋_GB2312" w:hAnsi="仿宋_GB2312" w:eastAsia="仿宋_GB2312" w:cs="仿宋_GB2312"/>
          <w:color w:val="auto"/>
          <w:kern w:val="0"/>
          <w:sz w:val="32"/>
          <w:szCs w:val="32"/>
          <w:lang w:val="en-US" w:eastAsia="zh-CN"/>
        </w:rPr>
        <w:fldChar w:fldCharType="begin"/>
      </w:r>
      <w:r>
        <w:rPr>
          <w:rFonts w:hint="eastAsia" w:ascii="仿宋_GB2312" w:hAnsi="仿宋_GB2312" w:eastAsia="仿宋_GB2312" w:cs="仿宋_GB2312"/>
          <w:color w:val="auto"/>
          <w:kern w:val="0"/>
          <w:sz w:val="32"/>
          <w:szCs w:val="32"/>
          <w:lang w:val="en-US" w:eastAsia="zh-CN"/>
        </w:rPr>
        <w:instrText xml:space="preserve"> HYPERLINK "http://www.zibo.gov.cn/art/2018/9/25/art_8212_1501969.html" \o "山东省环境保护督察组第八组信访举报记录表（第二十一批）" \t "http://www.zibo.gov.cn/col/col8212/_blank" </w:instrText>
      </w:r>
      <w:r>
        <w:rPr>
          <w:rFonts w:hint="eastAsia" w:ascii="仿宋_GB2312" w:hAnsi="仿宋_GB2312" w:eastAsia="仿宋_GB2312" w:cs="仿宋_GB2312"/>
          <w:color w:val="auto"/>
          <w:kern w:val="0"/>
          <w:sz w:val="32"/>
          <w:szCs w:val="32"/>
          <w:lang w:val="en-US" w:eastAsia="zh-CN"/>
        </w:rPr>
        <w:fldChar w:fldCharType="separate"/>
      </w:r>
      <w:r>
        <w:rPr>
          <w:rFonts w:hint="eastAsia" w:ascii="仿宋_GB2312" w:hAnsi="仿宋_GB2312" w:eastAsia="仿宋_GB2312" w:cs="仿宋_GB2312"/>
          <w:color w:val="auto"/>
          <w:kern w:val="0"/>
          <w:sz w:val="32"/>
          <w:szCs w:val="32"/>
          <w:lang w:val="en-US" w:eastAsia="zh-CN"/>
        </w:rPr>
        <w:t>山东省环境保护督察组第八组信访举报记录表</w:t>
      </w:r>
      <w:r>
        <w:rPr>
          <w:rFonts w:hint="eastAsia" w:ascii="仿宋_GB2312" w:hAnsi="仿宋_GB2312" w:eastAsia="仿宋_GB2312" w:cs="仿宋_GB2312"/>
          <w:color w:val="auto"/>
          <w:kern w:val="0"/>
          <w:sz w:val="32"/>
          <w:szCs w:val="32"/>
          <w:lang w:val="en-US" w:eastAsia="zh-CN"/>
        </w:rPr>
        <w:fldChar w:fldCharType="end"/>
      </w:r>
      <w:r>
        <w:rPr>
          <w:rFonts w:hint="eastAsia" w:ascii="仿宋_GB2312" w:hAnsi="仿宋_GB2312" w:eastAsia="仿宋_GB2312" w:cs="仿宋_GB2312"/>
          <w:color w:val="auto"/>
          <w:kern w:val="0"/>
          <w:sz w:val="32"/>
          <w:szCs w:val="32"/>
          <w:lang w:val="en-US" w:eastAsia="zh-CN"/>
        </w:rPr>
        <w:t>》21批；“环保部大气污染强化督查”专栏公开《淄博市督办问题查处整改情况》、《淄博市督办问题企业名单》、《淄博市督办问题清单》等信息21条；通过市环保局网站“环境审批”“项目验收”等栏目，即时公开建设项目环评文件、竣工环境保护验收受理情况、拟审批情况和审批决定等情况。</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_GB2312" w:hAnsi="仿宋_GB2312" w:eastAsia="仿宋_GB2312" w:cs="仿宋_GB2312"/>
          <w:color w:val="auto"/>
          <w:kern w:val="0"/>
          <w:sz w:val="32"/>
          <w:szCs w:val="32"/>
          <w:lang w:val="en-US" w:eastAsia="zh-CN"/>
        </w:rPr>
      </w:pPr>
      <w:r>
        <w:drawing>
          <wp:anchor distT="0" distB="0" distL="114300" distR="114300" simplePos="0" relativeHeight="452341760" behindDoc="1" locked="0" layoutInCell="1" allowOverlap="1">
            <wp:simplePos x="0" y="0"/>
            <wp:positionH relativeFrom="column">
              <wp:posOffset>144145</wp:posOffset>
            </wp:positionH>
            <wp:positionV relativeFrom="paragraph">
              <wp:posOffset>417830</wp:posOffset>
            </wp:positionV>
            <wp:extent cx="3120390" cy="2280920"/>
            <wp:effectExtent l="28575" t="28575" r="32385" b="90805"/>
            <wp:wrapTight wrapText="bothSides">
              <wp:wrapPolygon>
                <wp:start x="-198" y="-271"/>
                <wp:lineTo x="-198" y="21738"/>
                <wp:lineTo x="21692" y="21738"/>
                <wp:lineTo x="21692" y="-271"/>
                <wp:lineTo x="-198" y="-271"/>
              </wp:wrapPolygon>
            </wp:wrapTight>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33"/>
                    <a:stretch>
                      <a:fillRect/>
                    </a:stretch>
                  </pic:blipFill>
                  <pic:spPr>
                    <a:xfrm>
                      <a:off x="0" y="0"/>
                      <a:ext cx="3120390" cy="228092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val="0"/>
          <w:i w:val="0"/>
          <w:caps w:val="0"/>
          <w:color w:val="auto"/>
          <w:spacing w:val="0"/>
          <w:sz w:val="32"/>
          <w:szCs w:val="32"/>
          <w:lang w:val="en-US" w:eastAsia="zh-CN"/>
        </w:rPr>
        <w:t>三是聚焦“放管服”改革做好公开。</w:t>
      </w:r>
      <w:r>
        <w:rPr>
          <w:rFonts w:hint="eastAsia" w:ascii="仿宋_GB2312" w:hAnsi="仿宋_GB2312" w:eastAsia="仿宋_GB2312" w:cs="仿宋_GB2312"/>
          <w:b/>
          <w:bCs/>
          <w:color w:val="auto"/>
          <w:kern w:val="0"/>
          <w:sz w:val="32"/>
          <w:szCs w:val="32"/>
          <w:lang w:val="en-US" w:eastAsia="zh-CN"/>
        </w:rPr>
        <w:t>权责清单方面：</w:t>
      </w:r>
      <w:r>
        <w:rPr>
          <w:rFonts w:hint="eastAsia" w:ascii="仿宋_GB2312" w:hAnsi="仿宋_GB2312" w:eastAsia="仿宋_GB2312" w:cs="仿宋_GB2312"/>
          <w:color w:val="auto"/>
          <w:kern w:val="0"/>
          <w:sz w:val="32"/>
          <w:szCs w:val="32"/>
          <w:lang w:val="en-US" w:eastAsia="zh-CN"/>
        </w:rPr>
        <w:t>通过市政府网站、市机构编制网、山东政务服务网淄博站等平台公开我市市级部门和单位行政权力清单、责任清单，并动态实时</w:t>
      </w:r>
    </w:p>
    <w:p>
      <w:pP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val="0"/>
          <w:bCs/>
          <w:i w:val="0"/>
          <w:caps w:val="0"/>
          <w:color w:val="auto"/>
          <w:spacing w:val="0"/>
          <w:sz w:val="32"/>
          <w:szCs w:val="32"/>
          <w:lang w:val="en-US" w:eastAsia="zh-CN"/>
        </w:rPr>
      </w:pPr>
      <w:r>
        <w:drawing>
          <wp:anchor distT="0" distB="0" distL="114300" distR="114300" simplePos="0" relativeHeight="461103104" behindDoc="1" locked="0" layoutInCell="1" allowOverlap="1">
            <wp:simplePos x="0" y="0"/>
            <wp:positionH relativeFrom="column">
              <wp:posOffset>13335</wp:posOffset>
            </wp:positionH>
            <wp:positionV relativeFrom="paragraph">
              <wp:posOffset>1986915</wp:posOffset>
            </wp:positionV>
            <wp:extent cx="4126865" cy="2806065"/>
            <wp:effectExtent l="28575" t="28575" r="35560" b="41910"/>
            <wp:wrapTight wrapText="bothSides">
              <wp:wrapPolygon>
                <wp:start x="-150" y="-220"/>
                <wp:lineTo x="-150" y="21629"/>
                <wp:lineTo x="21686" y="21629"/>
                <wp:lineTo x="21686" y="-220"/>
                <wp:lineTo x="-150" y="-220"/>
              </wp:wrapPolygon>
            </wp:wrapTight>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4"/>
                    <a:stretch>
                      <a:fillRect/>
                    </a:stretch>
                  </pic:blipFill>
                  <pic:spPr>
                    <a:xfrm>
                      <a:off x="0" y="0"/>
                      <a:ext cx="4126865" cy="2806065"/>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color w:val="auto"/>
          <w:kern w:val="0"/>
          <w:sz w:val="32"/>
          <w:szCs w:val="32"/>
          <w:lang w:val="en-US" w:eastAsia="zh-CN"/>
        </w:rPr>
        <w:t>调整。</w:t>
      </w:r>
      <w:r>
        <w:rPr>
          <w:rFonts w:hint="eastAsia" w:ascii="仿宋" w:hAnsi="仿宋" w:eastAsia="仿宋" w:cs="仿宋"/>
          <w:b/>
          <w:bCs w:val="0"/>
          <w:i w:val="0"/>
          <w:caps w:val="0"/>
          <w:color w:val="auto"/>
          <w:spacing w:val="0"/>
          <w:sz w:val="32"/>
          <w:szCs w:val="32"/>
          <w:lang w:val="en-US" w:eastAsia="zh-CN"/>
        </w:rPr>
        <w:t>事中事后监管方面：</w:t>
      </w:r>
      <w:r>
        <w:rPr>
          <w:rFonts w:hint="eastAsia" w:ascii="仿宋" w:hAnsi="仿宋" w:eastAsia="仿宋" w:cs="仿宋"/>
          <w:b w:val="0"/>
          <w:bCs/>
          <w:i w:val="0"/>
          <w:caps w:val="0"/>
          <w:color w:val="auto"/>
          <w:spacing w:val="0"/>
          <w:sz w:val="32"/>
          <w:szCs w:val="32"/>
          <w:lang w:val="en-US" w:eastAsia="zh-CN"/>
        </w:rPr>
        <w:t>市政府网站设立“双随机一公开”栏目，下设“抽查事项清单”“抽查情况”两个二级栏目，市政府各部门单位随机抽查事项清单、执法人员名录库、抽查情况等内容通过专栏及时公开；制定并公开《关于认真做好全市涉企信息归集应用管理工作的意见》（淄政办字〔2018〕94号），</w:t>
      </w:r>
      <w:r>
        <w:rPr>
          <w:rFonts w:hint="eastAsia" w:ascii="仿宋" w:hAnsi="仿宋" w:eastAsia="仿宋" w:cs="仿宋"/>
          <w:b w:val="0"/>
          <w:bCs/>
          <w:i w:val="0"/>
          <w:caps w:val="0"/>
          <w:color w:val="auto"/>
          <w:spacing w:val="0"/>
          <w:sz w:val="32"/>
          <w:szCs w:val="32"/>
          <w:highlight w:val="none"/>
          <w:lang w:val="en-US" w:eastAsia="zh-CN"/>
        </w:rPr>
        <w:t>明确将涉企信息统一归集于企业名下,通过公示系统向社会公示，归集内容包括行政许可信息和“双随机一公开”抽查结果信息。</w:t>
      </w:r>
      <w:r>
        <w:rPr>
          <w:rFonts w:hint="eastAsia" w:ascii="仿宋" w:hAnsi="仿宋" w:eastAsia="仿宋" w:cs="仿宋"/>
          <w:b w:val="0"/>
          <w:bCs/>
          <w:i w:val="0"/>
          <w:caps w:val="0"/>
          <w:color w:val="auto"/>
          <w:spacing w:val="0"/>
          <w:sz w:val="32"/>
          <w:szCs w:val="32"/>
          <w:lang w:val="en-US" w:eastAsia="zh-CN"/>
        </w:rPr>
        <w:t>依托“信用中国（山东淄博）”网站，全面公开全市行政许可和行政处罚信息，2018年公开行政许可数量245036条，行政处罚数量17575条，增强了监管透明度和公信力；根据中央和省市相关规定，我市所有PPP项目的参与方式、项目合同和回报机制、项目实施情况等内容均在财政部PPP综合信息平台予以公开，截至2018年底，全市累计公开运作落地项目26个、开工建设项目22个，吸引社会资本及融资251.06亿元。</w:t>
      </w:r>
    </w:p>
    <w:p>
      <w:pPr>
        <w:keepNext w:val="0"/>
        <w:keepLines w:val="0"/>
        <w:pageBreakBefore w:val="0"/>
        <w:widowControl w:val="0"/>
        <w:tabs>
          <w:tab w:val="center" w:pos="4507"/>
        </w:tabs>
        <w:kinsoku/>
        <w:wordWrap/>
        <w:overflowPunct/>
        <w:topLinePunct w:val="0"/>
        <w:autoSpaceDE/>
        <w:autoSpaceDN/>
        <w:bidi w:val="0"/>
        <w:adjustRightInd/>
        <w:snapToGrid/>
        <w:spacing w:line="600" w:lineRule="exact"/>
        <w:ind w:firstLine="643" w:firstLineChars="200"/>
        <w:jc w:val="both"/>
        <w:textAlignment w:val="auto"/>
        <w:outlineLvl w:val="1"/>
        <w:rPr>
          <w:rFonts w:hint="default" w:ascii="仿宋" w:hAnsi="仿宋" w:eastAsia="仿宋" w:cs="仿宋"/>
          <w:b/>
          <w:bCs w:val="0"/>
          <w:i w:val="0"/>
          <w:caps w:val="0"/>
          <w:color w:val="auto"/>
          <w:spacing w:val="0"/>
          <w:sz w:val="32"/>
          <w:szCs w:val="32"/>
          <w:lang w:val="en-US" w:eastAsia="zh-CN"/>
        </w:rPr>
      </w:pPr>
      <w:r>
        <w:rPr>
          <w:rFonts w:hint="eastAsia" w:ascii="仿宋" w:hAnsi="仿宋" w:eastAsia="仿宋" w:cs="仿宋"/>
          <w:b/>
          <w:bCs w:val="0"/>
          <w:i w:val="0"/>
          <w:caps w:val="0"/>
          <w:color w:val="auto"/>
          <w:spacing w:val="0"/>
          <w:sz w:val="32"/>
          <w:szCs w:val="32"/>
          <w:lang w:val="en-US" w:eastAsia="zh-CN"/>
        </w:rPr>
        <w:t>（四）围绕法治政府建设着力推进公开</w:t>
      </w:r>
    </w:p>
    <w:p>
      <w:pPr>
        <w:rPr>
          <w:rFonts w:hint="eastAsia" w:ascii="仿宋" w:hAnsi="仿宋" w:eastAsia="仿宋" w:cs="仿宋"/>
          <w:b/>
          <w:bCs w:val="0"/>
          <w:i w:val="0"/>
          <w:caps w:val="0"/>
          <w:color w:val="auto"/>
          <w:spacing w:val="0"/>
          <w:sz w:val="32"/>
          <w:szCs w:val="32"/>
          <w:lang w:val="en-US" w:eastAsia="zh-CN"/>
        </w:rPr>
      </w:pPr>
      <w:r>
        <w:rPr>
          <w:rFonts w:hint="eastAsia" w:ascii="仿宋" w:hAnsi="仿宋" w:eastAsia="仿宋" w:cs="仿宋"/>
          <w:b/>
          <w:bCs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 w:val="0"/>
          <w:i w:val="0"/>
          <w:caps w:val="0"/>
          <w:color w:val="auto"/>
          <w:spacing w:val="0"/>
          <w:sz w:val="32"/>
          <w:szCs w:val="32"/>
          <w:lang w:eastAsia="zh-CN"/>
        </w:rPr>
      </w:pPr>
      <w:r>
        <w:drawing>
          <wp:anchor distT="0" distB="0" distL="114300" distR="114300" simplePos="0" relativeHeight="252932096" behindDoc="1" locked="0" layoutInCell="1" allowOverlap="1">
            <wp:simplePos x="0" y="0"/>
            <wp:positionH relativeFrom="column">
              <wp:posOffset>1407795</wp:posOffset>
            </wp:positionH>
            <wp:positionV relativeFrom="paragraph">
              <wp:posOffset>604520</wp:posOffset>
            </wp:positionV>
            <wp:extent cx="3858895" cy="2713990"/>
            <wp:effectExtent l="28575" t="28575" r="36830" b="38735"/>
            <wp:wrapTight wrapText="bothSides">
              <wp:wrapPolygon>
                <wp:start x="-160" y="-227"/>
                <wp:lineTo x="-160" y="21605"/>
                <wp:lineTo x="21700" y="21605"/>
                <wp:lineTo x="21700" y="-227"/>
                <wp:lineTo x="-160" y="-227"/>
              </wp:wrapPolygon>
            </wp:wrapTight>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35"/>
                    <a:stretch>
                      <a:fillRect/>
                    </a:stretch>
                  </pic:blipFill>
                  <pic:spPr>
                    <a:xfrm>
                      <a:off x="0" y="0"/>
                      <a:ext cx="3858895" cy="271399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val="0"/>
          <w:i w:val="0"/>
          <w:caps w:val="0"/>
          <w:color w:val="auto"/>
          <w:spacing w:val="0"/>
          <w:sz w:val="32"/>
          <w:szCs w:val="32"/>
          <w:lang w:val="en-US" w:eastAsia="zh-CN"/>
        </w:rPr>
        <w:t>一是推进重大行政决策公开。</w:t>
      </w:r>
      <w:r>
        <w:rPr>
          <w:rFonts w:hint="eastAsia" w:ascii="仿宋" w:hAnsi="仿宋" w:eastAsia="仿宋" w:cs="仿宋"/>
          <w:b w:val="0"/>
          <w:i w:val="0"/>
          <w:caps w:val="0"/>
          <w:color w:val="auto"/>
          <w:spacing w:val="0"/>
          <w:sz w:val="32"/>
          <w:szCs w:val="32"/>
          <w:lang w:val="en-US" w:eastAsia="zh-CN"/>
        </w:rPr>
        <w:t>及时公开了2018年市政府重大行政决策事项目录和调整情况，</w:t>
      </w:r>
      <w:r>
        <w:rPr>
          <w:rFonts w:hint="eastAsia" w:ascii="仿宋" w:hAnsi="仿宋" w:eastAsia="仿宋" w:cs="仿宋"/>
          <w:b w:val="0"/>
          <w:i w:val="0"/>
          <w:caps w:val="0"/>
          <w:color w:val="auto"/>
          <w:spacing w:val="0"/>
          <w:sz w:val="32"/>
          <w:szCs w:val="32"/>
          <w:lang w:eastAsia="zh-CN"/>
        </w:rPr>
        <w:t>在市政府网站设立“公众参与公告”“公众参与报告”栏目，重大行政决策出台前广泛征求公众意见并及时反馈公众意见采纳情况；制定并公开《淄博市人民政府重大行政决策后评估办法（试行）》（淄政办字〔2018〕163号）</w:t>
      </w:r>
      <w:r>
        <w:rPr>
          <w:rFonts w:hint="eastAsia" w:ascii="仿宋" w:hAnsi="仿宋" w:eastAsia="仿宋" w:cs="仿宋"/>
          <w:b w:val="0"/>
          <w:i w:val="0"/>
          <w:caps w:val="0"/>
          <w:color w:val="auto"/>
          <w:spacing w:val="0"/>
          <w:sz w:val="32"/>
          <w:szCs w:val="32"/>
          <w:lang w:val="en-US" w:eastAsia="zh-CN"/>
        </w:rPr>
        <w:t>,明确决策后评估结果经</w:t>
      </w:r>
      <w:r>
        <w:rPr>
          <w:rFonts w:hint="eastAsia" w:ascii="仿宋" w:hAnsi="仿宋" w:eastAsia="仿宋" w:cs="仿宋"/>
          <w:b w:val="0"/>
          <w:i w:val="0"/>
          <w:caps w:val="0"/>
          <w:color w:val="auto"/>
          <w:spacing w:val="0"/>
          <w:sz w:val="32"/>
          <w:szCs w:val="32"/>
          <w:lang w:eastAsia="zh-CN"/>
        </w:rPr>
        <w:t>审议后须于5个工作日内在市政府网站予以公开。</w:t>
      </w:r>
    </w:p>
    <w:p>
      <w:pPr>
        <w:keepNext w:val="0"/>
        <w:keepLines w:val="0"/>
        <w:pageBreakBefore w:val="0"/>
        <w:widowControl w:val="0"/>
        <w:kinsoku/>
        <w:wordWrap/>
        <w:overflowPunct/>
        <w:topLinePunct w:val="0"/>
        <w:autoSpaceDE/>
        <w:autoSpaceDN/>
        <w:bidi w:val="0"/>
        <w:adjustRightInd/>
        <w:snapToGrid/>
        <w:ind w:firstLine="630" w:firstLineChars="300"/>
        <w:jc w:val="both"/>
        <w:textAlignment w:val="auto"/>
        <w:rPr>
          <w:rFonts w:hint="eastAsia" w:ascii="仿宋" w:hAnsi="仿宋" w:eastAsia="仿宋" w:cs="仿宋"/>
          <w:b w:val="0"/>
          <w:i w:val="0"/>
          <w:caps w:val="0"/>
          <w:color w:val="auto"/>
          <w:spacing w:val="0"/>
          <w:sz w:val="32"/>
          <w:szCs w:val="32"/>
          <w:lang w:val="en-US" w:eastAsia="zh-CN"/>
        </w:rPr>
      </w:pPr>
      <w:r>
        <w:drawing>
          <wp:anchor distT="0" distB="0" distL="114300" distR="114300" simplePos="0" relativeHeight="252942336" behindDoc="1" locked="0" layoutInCell="1" allowOverlap="1">
            <wp:simplePos x="0" y="0"/>
            <wp:positionH relativeFrom="column">
              <wp:posOffset>4445</wp:posOffset>
            </wp:positionH>
            <wp:positionV relativeFrom="paragraph">
              <wp:posOffset>838200</wp:posOffset>
            </wp:positionV>
            <wp:extent cx="3994785" cy="2604770"/>
            <wp:effectExtent l="28575" t="28575" r="34290" b="90805"/>
            <wp:wrapTight wrapText="bothSides">
              <wp:wrapPolygon>
                <wp:start x="-155" y="-237"/>
                <wp:lineTo x="-155" y="21721"/>
                <wp:lineTo x="21682" y="21721"/>
                <wp:lineTo x="21682" y="-237"/>
                <wp:lineTo x="-155" y="-237"/>
              </wp:wrapPolygon>
            </wp:wrapTight>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6"/>
                    <a:stretch>
                      <a:fillRect/>
                    </a:stretch>
                  </pic:blipFill>
                  <pic:spPr>
                    <a:xfrm>
                      <a:off x="0" y="0"/>
                      <a:ext cx="3994785" cy="260477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i w:val="0"/>
          <w:caps w:val="0"/>
          <w:color w:val="auto"/>
          <w:spacing w:val="0"/>
          <w:sz w:val="32"/>
          <w:szCs w:val="32"/>
          <w:lang w:eastAsia="zh-CN"/>
        </w:rPr>
        <w:t>二是推进会议公开。</w:t>
      </w:r>
      <w:r>
        <w:rPr>
          <w:rFonts w:hint="eastAsia" w:ascii="仿宋" w:hAnsi="仿宋" w:eastAsia="仿宋" w:cs="仿宋"/>
          <w:b w:val="0"/>
          <w:i w:val="0"/>
          <w:caps w:val="0"/>
          <w:color w:val="auto"/>
          <w:spacing w:val="0"/>
          <w:sz w:val="32"/>
          <w:szCs w:val="32"/>
          <w:lang w:val="en-US" w:eastAsia="zh-CN"/>
        </w:rPr>
        <w:t xml:space="preserve"> 在市政府网站设立“政府会议”栏目，下设“常务会议”“全体会议”“专题会议”“部门会议”四个子栏目，对会议内容分类全面公开，2018年淄博市政府召开的2次全体会、16</w:t>
      </w:r>
    </w:p>
    <w:p>
      <w:pPr>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 w:hAnsi="仿宋" w:eastAsia="仿宋" w:cs="仿宋"/>
          <w:b w:val="0"/>
          <w:i w:val="0"/>
          <w:caps w:val="0"/>
          <w:color w:val="auto"/>
          <w:spacing w:val="0"/>
          <w:sz w:val="32"/>
          <w:szCs w:val="32"/>
          <w:lang w:val="en-US" w:eastAsia="zh-CN"/>
        </w:rPr>
      </w:pPr>
      <w:r>
        <w:rPr>
          <w:rFonts w:hint="eastAsia" w:ascii="仿宋" w:hAnsi="仿宋" w:eastAsia="仿宋" w:cs="仿宋"/>
          <w:b w:val="0"/>
          <w:i w:val="0"/>
          <w:caps w:val="0"/>
          <w:color w:val="auto"/>
          <w:spacing w:val="0"/>
          <w:sz w:val="32"/>
          <w:szCs w:val="32"/>
          <w:lang w:val="en-US" w:eastAsia="zh-CN"/>
        </w:rPr>
        <w:t>次常务会议及各类专题会议内容均通过对应栏目及时公开。</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i w:val="0"/>
          <w:caps w:val="0"/>
          <w:color w:val="auto"/>
          <w:spacing w:val="0"/>
          <w:sz w:val="32"/>
          <w:szCs w:val="32"/>
          <w:lang w:val="en-US" w:eastAsia="zh-CN"/>
        </w:rPr>
      </w:pPr>
      <w:r>
        <w:rPr>
          <w:rFonts w:hint="eastAsia" w:ascii="仿宋" w:hAnsi="仿宋" w:eastAsia="仿宋" w:cs="仿宋"/>
          <w:b/>
          <w:bCs/>
          <w:i w:val="0"/>
          <w:caps w:val="0"/>
          <w:color w:val="auto"/>
          <w:spacing w:val="0"/>
          <w:sz w:val="32"/>
          <w:szCs w:val="32"/>
          <w:lang w:val="en-US" w:eastAsia="zh-CN"/>
        </w:rPr>
        <w:t>三是推进政策执行公开。</w:t>
      </w:r>
      <w:r>
        <w:rPr>
          <w:rFonts w:hint="eastAsia" w:ascii="仿宋" w:hAnsi="仿宋" w:eastAsia="仿宋" w:cs="仿宋"/>
          <w:b w:val="0"/>
          <w:i w:val="0"/>
          <w:caps w:val="0"/>
          <w:color w:val="auto"/>
          <w:spacing w:val="0"/>
          <w:sz w:val="32"/>
          <w:szCs w:val="32"/>
          <w:lang w:val="en-US" w:eastAsia="zh-CN"/>
        </w:rPr>
        <w:t>我市重大政策措施、重点工作任务实施步骤、具体措施、责任分工、工作进展、工作成效等信息通过市政府网站和相关职能部门网站、政务微博、政务微信公众号等多途径公开；在市政府网站设立“淄博政务督查”栏目，将督查动态、工作职责、督查通知、督查制度规定等信息集中公开。</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仿宋" w:hAnsi="仿宋" w:eastAsia="仿宋" w:cs="仿宋"/>
          <w:b w:val="0"/>
          <w:i w:val="0"/>
          <w:caps w:val="0"/>
          <w:color w:val="auto"/>
          <w:spacing w:val="0"/>
          <w:sz w:val="32"/>
          <w:szCs w:val="32"/>
          <w:lang w:val="en-US" w:eastAsia="zh-CN"/>
        </w:rPr>
      </w:pPr>
      <w:r>
        <w:drawing>
          <wp:anchor distT="0" distB="0" distL="114300" distR="114300" simplePos="0" relativeHeight="252951552" behindDoc="1" locked="0" layoutInCell="1" allowOverlap="1">
            <wp:simplePos x="0" y="0"/>
            <wp:positionH relativeFrom="column">
              <wp:posOffset>1207135</wp:posOffset>
            </wp:positionH>
            <wp:positionV relativeFrom="paragraph">
              <wp:posOffset>554990</wp:posOffset>
            </wp:positionV>
            <wp:extent cx="4029710" cy="3192780"/>
            <wp:effectExtent l="28575" t="28575" r="37465" b="0"/>
            <wp:wrapTight wrapText="bothSides">
              <wp:wrapPolygon>
                <wp:start x="-153" y="-193"/>
                <wp:lineTo x="-153" y="21716"/>
                <wp:lineTo x="21699" y="21716"/>
                <wp:lineTo x="21699" y="-193"/>
                <wp:lineTo x="-153" y="-193"/>
              </wp:wrapPolygon>
            </wp:wrapTight>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7"/>
                    <a:stretch>
                      <a:fillRect/>
                    </a:stretch>
                  </pic:blipFill>
                  <pic:spPr>
                    <a:xfrm>
                      <a:off x="0" y="0"/>
                      <a:ext cx="4029710" cy="319278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 w:hAnsi="仿宋" w:eastAsia="仿宋" w:cs="仿宋"/>
          <w:b/>
          <w:bCs/>
          <w:i w:val="0"/>
          <w:caps w:val="0"/>
          <w:color w:val="auto"/>
          <w:spacing w:val="0"/>
          <w:sz w:val="32"/>
          <w:szCs w:val="32"/>
          <w:lang w:val="en-US" w:eastAsia="zh-CN"/>
        </w:rPr>
        <w:t>四是推进</w:t>
      </w:r>
      <w:r>
        <w:rPr>
          <w:rFonts w:hint="eastAsia" w:ascii="仿宋" w:hAnsi="仿宋" w:eastAsia="仿宋" w:cs="仿宋"/>
          <w:b/>
          <w:bCs/>
          <w:i w:val="0"/>
          <w:caps w:val="0"/>
          <w:color w:val="auto"/>
          <w:spacing w:val="0"/>
          <w:sz w:val="32"/>
          <w:szCs w:val="32"/>
          <w:lang w:eastAsia="zh-CN"/>
        </w:rPr>
        <w:t>建议提案办理结果公开。</w:t>
      </w:r>
      <w:r>
        <w:rPr>
          <w:rFonts w:hint="eastAsia" w:ascii="仿宋" w:hAnsi="仿宋" w:eastAsia="仿宋" w:cs="仿宋"/>
          <w:b w:val="0"/>
          <w:i w:val="0"/>
          <w:caps w:val="0"/>
          <w:color w:val="auto"/>
          <w:spacing w:val="0"/>
          <w:sz w:val="32"/>
          <w:szCs w:val="32"/>
          <w:lang w:val="en-US" w:eastAsia="zh-CN"/>
        </w:rPr>
        <w:t>按照</w:t>
      </w:r>
      <w:r>
        <w:rPr>
          <w:rFonts w:hint="eastAsia" w:ascii="仿宋" w:hAnsi="仿宋" w:eastAsia="仿宋" w:cs="仿宋"/>
          <w:b w:val="0"/>
          <w:i w:val="0"/>
          <w:caps w:val="0"/>
          <w:color w:val="auto"/>
          <w:spacing w:val="0"/>
          <w:sz w:val="32"/>
          <w:szCs w:val="32"/>
          <w:lang w:eastAsia="zh-CN"/>
        </w:rPr>
        <w:t>《淄博市人民政府办公厅关于做好2018年度政府系统建议提案办理工作的通知》要求，在市政府网站“建议提案办理”栏目及市级部门单位网站主动公开人大代表建议和政协委员提案办理情况。</w:t>
      </w:r>
      <w:r>
        <w:rPr>
          <w:rFonts w:hint="eastAsia" w:ascii="仿宋" w:hAnsi="仿宋" w:eastAsia="仿宋" w:cs="仿宋"/>
          <w:b w:val="0"/>
          <w:i w:val="0"/>
          <w:caps w:val="0"/>
          <w:color w:val="auto"/>
          <w:spacing w:val="0"/>
          <w:sz w:val="32"/>
          <w:szCs w:val="32"/>
          <w:lang w:val="en-US" w:eastAsia="zh-CN"/>
        </w:rPr>
        <w:t>2018年</w:t>
      </w:r>
      <w:r>
        <w:rPr>
          <w:rFonts w:hint="eastAsia" w:ascii="仿宋" w:hAnsi="仿宋" w:eastAsia="仿宋" w:cs="仿宋"/>
          <w:b w:val="0"/>
          <w:i w:val="0"/>
          <w:caps w:val="0"/>
          <w:color w:val="auto"/>
          <w:spacing w:val="0"/>
          <w:sz w:val="32"/>
          <w:szCs w:val="32"/>
          <w:lang w:eastAsia="zh-CN"/>
        </w:rPr>
        <w:t>市政府承办的</w:t>
      </w:r>
      <w:r>
        <w:rPr>
          <w:rFonts w:hint="eastAsia" w:ascii="仿宋" w:hAnsi="仿宋" w:eastAsia="仿宋" w:cs="仿宋"/>
          <w:b w:val="0"/>
          <w:i w:val="0"/>
          <w:caps w:val="0"/>
          <w:color w:val="auto"/>
          <w:spacing w:val="0"/>
          <w:sz w:val="32"/>
          <w:szCs w:val="32"/>
          <w:lang w:val="en-US" w:eastAsia="zh-CN"/>
        </w:rPr>
        <w:t>189件</w:t>
      </w:r>
      <w:r>
        <w:rPr>
          <w:rFonts w:hint="eastAsia" w:ascii="仿宋" w:hAnsi="仿宋" w:eastAsia="仿宋" w:cs="仿宋"/>
          <w:b w:val="0"/>
          <w:i w:val="0"/>
          <w:caps w:val="0"/>
          <w:color w:val="auto"/>
          <w:spacing w:val="0"/>
          <w:sz w:val="32"/>
          <w:szCs w:val="32"/>
          <w:lang w:eastAsia="zh-CN"/>
        </w:rPr>
        <w:t>市人大代表建议、</w:t>
      </w:r>
      <w:r>
        <w:rPr>
          <w:rFonts w:hint="eastAsia" w:ascii="仿宋" w:hAnsi="仿宋" w:eastAsia="仿宋" w:cs="仿宋"/>
          <w:b w:val="0"/>
          <w:i w:val="0"/>
          <w:caps w:val="0"/>
          <w:color w:val="auto"/>
          <w:spacing w:val="0"/>
          <w:sz w:val="32"/>
          <w:szCs w:val="32"/>
          <w:lang w:val="en-US" w:eastAsia="zh-CN"/>
        </w:rPr>
        <w:t>404件</w:t>
      </w:r>
      <w:r>
        <w:rPr>
          <w:rFonts w:hint="eastAsia" w:ascii="仿宋" w:hAnsi="仿宋" w:eastAsia="仿宋" w:cs="仿宋"/>
          <w:b w:val="0"/>
          <w:i w:val="0"/>
          <w:caps w:val="0"/>
          <w:color w:val="auto"/>
          <w:spacing w:val="0"/>
          <w:sz w:val="32"/>
          <w:szCs w:val="32"/>
          <w:lang w:eastAsia="zh-CN"/>
        </w:rPr>
        <w:t>市政协委员提案的整体办理情况予以公开，对涉及公共利益、公众权益、社会关切及需要社会广泛知晓的建议和提案办理复文全文予以公开。</w:t>
      </w:r>
    </w:p>
    <w:p>
      <w:pPr>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br w:type="page"/>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outlineLvl w:val="1"/>
        <w:rPr>
          <w:rFonts w:hint="eastAsia" w:ascii="仿宋" w:hAnsi="仿宋" w:eastAsia="仿宋" w:cs="仿宋"/>
          <w:b/>
          <w:bCs/>
          <w:i w:val="0"/>
          <w:caps w:val="0"/>
          <w:color w:val="auto"/>
          <w:spacing w:val="0"/>
          <w:sz w:val="32"/>
          <w:szCs w:val="32"/>
          <w:lang w:val="en-US" w:eastAsia="zh-CN"/>
        </w:rPr>
      </w:pPr>
      <w:r>
        <w:rPr>
          <w:rFonts w:hint="eastAsia" w:ascii="仿宋" w:hAnsi="仿宋" w:eastAsia="仿宋" w:cs="仿宋"/>
          <w:b/>
          <w:bCs/>
          <w:i w:val="0"/>
          <w:caps w:val="0"/>
          <w:color w:val="auto"/>
          <w:spacing w:val="0"/>
          <w:sz w:val="32"/>
          <w:szCs w:val="32"/>
          <w:lang w:eastAsia="zh-CN"/>
        </w:rPr>
        <w:t>（五）围绕重点领域着力推进公开</w:t>
      </w:r>
    </w:p>
    <w:p>
      <w:pPr>
        <w:ind w:firstLine="840" w:firstLineChars="400"/>
        <w:rPr>
          <w:rFonts w:hint="eastAsia" w:ascii="仿宋" w:hAnsi="仿宋" w:eastAsia="仿宋" w:cs="仿宋"/>
          <w:b w:val="0"/>
          <w:bCs/>
          <w:i w:val="0"/>
          <w:caps w:val="0"/>
          <w:color w:val="auto"/>
          <w:spacing w:val="0"/>
          <w:sz w:val="32"/>
          <w:szCs w:val="32"/>
          <w:lang w:eastAsia="zh-CN"/>
        </w:rPr>
      </w:pPr>
      <w:r>
        <w:drawing>
          <wp:anchor distT="0" distB="0" distL="114300" distR="114300" simplePos="0" relativeHeight="464851968" behindDoc="1" locked="0" layoutInCell="1" allowOverlap="1">
            <wp:simplePos x="0" y="0"/>
            <wp:positionH relativeFrom="column">
              <wp:posOffset>95250</wp:posOffset>
            </wp:positionH>
            <wp:positionV relativeFrom="paragraph">
              <wp:posOffset>1630680</wp:posOffset>
            </wp:positionV>
            <wp:extent cx="5102225" cy="2165985"/>
            <wp:effectExtent l="28575" t="28575" r="31750" b="91440"/>
            <wp:wrapTight wrapText="bothSides">
              <wp:wrapPolygon>
                <wp:start x="-121" y="-285"/>
                <wp:lineTo x="-121" y="21752"/>
                <wp:lineTo x="21654" y="21752"/>
                <wp:lineTo x="21654" y="-285"/>
                <wp:lineTo x="-121" y="-285"/>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8"/>
                    <a:stretch>
                      <a:fillRect/>
                    </a:stretch>
                  </pic:blipFill>
                  <pic:spPr>
                    <a:xfrm>
                      <a:off x="0" y="0"/>
                      <a:ext cx="5102225" cy="2165985"/>
                    </a:xfrm>
                    <a:prstGeom prst="rect">
                      <a:avLst/>
                    </a:prstGeom>
                    <a:noFill/>
                    <a:ln w="28575" cmpd="dbl">
                      <a:solidFill>
                        <a:schemeClr val="accent1">
                          <a:shade val="50000"/>
                        </a:schemeClr>
                      </a:solidFill>
                      <a:prstDash val="solid"/>
                    </a:ln>
                  </pic:spPr>
                </pic:pic>
              </a:graphicData>
            </a:graphic>
          </wp:anchor>
        </w:drawing>
      </w:r>
      <w:r>
        <w:rPr>
          <w:rFonts w:hint="eastAsia" w:ascii="仿宋" w:hAnsi="仿宋" w:eastAsia="仿宋" w:cs="仿宋"/>
          <w:b/>
          <w:bCs w:val="0"/>
          <w:i w:val="0"/>
          <w:caps w:val="0"/>
          <w:color w:val="auto"/>
          <w:spacing w:val="0"/>
          <w:sz w:val="32"/>
          <w:szCs w:val="32"/>
          <w:lang w:eastAsia="zh-CN"/>
        </w:rPr>
        <w:t>一是推进财政预决算信息公开。</w:t>
      </w:r>
      <w:r>
        <w:rPr>
          <w:rFonts w:hint="eastAsia" w:ascii="仿宋" w:hAnsi="仿宋" w:eastAsia="仿宋" w:cs="仿宋"/>
          <w:b w:val="0"/>
          <w:i w:val="0"/>
          <w:caps w:val="0"/>
          <w:color w:val="auto"/>
          <w:spacing w:val="0"/>
          <w:sz w:val="32"/>
          <w:szCs w:val="32"/>
          <w:lang w:eastAsia="zh-CN"/>
        </w:rPr>
        <w:t>市财政局网站开</w:t>
      </w:r>
      <w:r>
        <w:rPr>
          <w:rFonts w:hint="eastAsia" w:ascii="仿宋" w:hAnsi="仿宋" w:eastAsia="仿宋" w:cs="仿宋"/>
          <w:b w:val="0"/>
          <w:bCs/>
          <w:i w:val="0"/>
          <w:caps w:val="0"/>
          <w:color w:val="auto"/>
          <w:spacing w:val="0"/>
          <w:sz w:val="32"/>
          <w:szCs w:val="32"/>
          <w:lang w:eastAsia="zh-CN"/>
        </w:rPr>
        <w:t>设淄博市预决算公开平台，集中公开市、区县两级政府及部门的预算、决算及“三公”经费信息，方便公众查询和监督，市、区县两级所有使用财政资金的部门和单位除涉密部门和信息外公开面达到100%，市级政府采购预算也一并公开。全面推进专项资金信息公开，在市政府网站设立“专项资金使用管理”栏目，初步建立了专项资金申报评审、分配使用、绩效评价等全过程信息公开机制，提升了专项资金使用管理透明度。市财政局网站“财政数据”栏目按月公开我市一般公共预算收入支出情况，解读增减变化，预判财政走势。公开了《关于淄博市2018年地方政府债务限额调整方案的报告》，内容涵盖我市政府债务限额数目、增减情况、用途等内容；年内在《中国财经报》《淄博日报》《淄博电视台》等新闻媒体上发布反映我市财政工作的文稿达40余篇次，为我市财政改革与发展营造了良好的舆论环境。</w:t>
      </w:r>
    </w:p>
    <w:p>
      <w:pPr>
        <w:rPr>
          <w:rFonts w:hint="eastAsia" w:ascii="仿宋" w:hAnsi="仿宋" w:eastAsia="仿宋" w:cs="仿宋"/>
          <w:b/>
          <w:bCs w:val="0"/>
          <w:i w:val="0"/>
          <w:caps w:val="0"/>
          <w:color w:val="auto"/>
          <w:spacing w:val="0"/>
          <w:sz w:val="32"/>
          <w:szCs w:val="32"/>
          <w:lang w:eastAsia="zh-CN"/>
        </w:rPr>
      </w:pPr>
      <w:r>
        <w:rPr>
          <w:rFonts w:hint="eastAsia" w:ascii="仿宋" w:hAnsi="仿宋" w:eastAsia="仿宋" w:cs="仿宋"/>
          <w:b/>
          <w:bCs w:val="0"/>
          <w:i w:val="0"/>
          <w:caps w:val="0"/>
          <w:color w:val="auto"/>
          <w:spacing w:val="0"/>
          <w:sz w:val="32"/>
          <w:szCs w:val="32"/>
          <w:lang w:eastAsia="zh-CN"/>
        </w:rPr>
        <w:br w:type="page"/>
      </w:r>
    </w:p>
    <w:p>
      <w:pPr>
        <w:ind w:firstLine="630"/>
        <w:rPr>
          <w:rFonts w:hint="eastAsia" w:ascii="仿宋" w:hAnsi="仿宋" w:eastAsia="仿宋" w:cs="仿宋"/>
          <w:b w:val="0"/>
          <w:bCs/>
          <w:i w:val="0"/>
          <w:caps w:val="0"/>
          <w:color w:val="auto"/>
          <w:spacing w:val="0"/>
          <w:sz w:val="32"/>
          <w:szCs w:val="32"/>
          <w:lang w:val="en-US" w:eastAsia="zh-CN"/>
        </w:rPr>
      </w:pPr>
      <w:r>
        <w:drawing>
          <wp:anchor distT="0" distB="0" distL="114300" distR="114300" simplePos="0" relativeHeight="252976128" behindDoc="1" locked="0" layoutInCell="1" allowOverlap="1">
            <wp:simplePos x="0" y="0"/>
            <wp:positionH relativeFrom="column">
              <wp:posOffset>1776095</wp:posOffset>
            </wp:positionH>
            <wp:positionV relativeFrom="paragraph">
              <wp:posOffset>2802255</wp:posOffset>
            </wp:positionV>
            <wp:extent cx="3479165" cy="1438275"/>
            <wp:effectExtent l="28575" t="28575" r="35560" b="38100"/>
            <wp:wrapTight wrapText="bothSides">
              <wp:wrapPolygon>
                <wp:start x="-177" y="-429"/>
                <wp:lineTo x="-177" y="21886"/>
                <wp:lineTo x="21703" y="21886"/>
                <wp:lineTo x="21703" y="-429"/>
                <wp:lineTo x="-177" y="-429"/>
              </wp:wrapPolygon>
            </wp:wrapTight>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9"/>
                    <a:stretch>
                      <a:fillRect/>
                    </a:stretch>
                  </pic:blipFill>
                  <pic:spPr>
                    <a:xfrm>
                      <a:off x="0" y="0"/>
                      <a:ext cx="3479165" cy="1438275"/>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470137856" behindDoc="1" locked="0" layoutInCell="1" allowOverlap="1">
            <wp:simplePos x="0" y="0"/>
            <wp:positionH relativeFrom="column">
              <wp:posOffset>15875</wp:posOffset>
            </wp:positionH>
            <wp:positionV relativeFrom="paragraph">
              <wp:posOffset>4724400</wp:posOffset>
            </wp:positionV>
            <wp:extent cx="2725420" cy="1896110"/>
            <wp:effectExtent l="28575" t="9525" r="46355" b="37465"/>
            <wp:wrapTight wrapText="bothSides">
              <wp:wrapPolygon>
                <wp:start x="-226" y="-326"/>
                <wp:lineTo x="-226" y="21810"/>
                <wp:lineTo x="21665" y="21810"/>
                <wp:lineTo x="21665" y="-326"/>
                <wp:lineTo x="-226" y="-326"/>
              </wp:wrapPolygon>
            </wp:wrapTight>
            <wp:docPr id="63" name="图片 63" descr="1553749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553749763(1)"/>
                    <pic:cNvPicPr>
                      <a:picLocks noChangeAspect="1"/>
                    </pic:cNvPicPr>
                  </pic:nvPicPr>
                  <pic:blipFill>
                    <a:blip r:embed="rId40"/>
                    <a:stretch>
                      <a:fillRect/>
                    </a:stretch>
                  </pic:blipFill>
                  <pic:spPr>
                    <a:xfrm>
                      <a:off x="0" y="0"/>
                      <a:ext cx="2725420" cy="1896110"/>
                    </a:xfrm>
                    <a:prstGeom prst="rect">
                      <a:avLst/>
                    </a:prstGeom>
                    <a:ln w="28575" cmpd="dbl">
                      <a:solidFill>
                        <a:schemeClr val="accent1">
                          <a:shade val="50000"/>
                        </a:schemeClr>
                      </a:solidFill>
                      <a:prstDash val="solid"/>
                    </a:ln>
                  </pic:spPr>
                </pic:pic>
              </a:graphicData>
            </a:graphic>
          </wp:anchor>
        </w:drawing>
      </w:r>
      <w:r>
        <w:drawing>
          <wp:anchor distT="0" distB="0" distL="114300" distR="114300" simplePos="0" relativeHeight="252963840" behindDoc="1" locked="0" layoutInCell="1" allowOverlap="1">
            <wp:simplePos x="0" y="0"/>
            <wp:positionH relativeFrom="column">
              <wp:posOffset>-60960</wp:posOffset>
            </wp:positionH>
            <wp:positionV relativeFrom="paragraph">
              <wp:posOffset>461010</wp:posOffset>
            </wp:positionV>
            <wp:extent cx="2717800" cy="1760220"/>
            <wp:effectExtent l="28575" t="9525" r="53975" b="59055"/>
            <wp:wrapTight wrapText="bothSides">
              <wp:wrapPolygon>
                <wp:start x="-227" y="-351"/>
                <wp:lineTo x="-227" y="21623"/>
                <wp:lineTo x="21726" y="21623"/>
                <wp:lineTo x="21726" y="-351"/>
                <wp:lineTo x="-227" y="-351"/>
              </wp:wrapPolygon>
            </wp:wrapTight>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1"/>
                    <a:stretch>
                      <a:fillRect/>
                    </a:stretch>
                  </pic:blipFill>
                  <pic:spPr>
                    <a:xfrm>
                      <a:off x="0" y="0"/>
                      <a:ext cx="2717800" cy="176022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bCs w:val="0"/>
          <w:i w:val="0"/>
          <w:caps w:val="0"/>
          <w:color w:val="auto"/>
          <w:spacing w:val="0"/>
          <w:sz w:val="32"/>
          <w:szCs w:val="32"/>
          <w:lang w:eastAsia="zh-CN"/>
        </w:rPr>
        <w:t>二是推进重大建设项目批准和实施领域信息公开。</w:t>
      </w:r>
      <w:r>
        <w:rPr>
          <w:rFonts w:hint="eastAsia" w:ascii="仿宋" w:hAnsi="仿宋" w:eastAsia="仿宋" w:cs="仿宋"/>
          <w:b w:val="0"/>
          <w:bCs/>
          <w:i w:val="0"/>
          <w:caps w:val="0"/>
          <w:color w:val="auto"/>
          <w:spacing w:val="0"/>
          <w:sz w:val="32"/>
          <w:szCs w:val="32"/>
          <w:lang w:eastAsia="zh-CN"/>
        </w:rPr>
        <w:t>对重大建设项目批准服务、批准结果、招投标、征收土地、重大设计变更、施工、质量安全监督、竣工</w:t>
      </w:r>
      <w:r>
        <w:rPr>
          <w:rFonts w:hint="eastAsia" w:ascii="仿宋" w:hAnsi="仿宋" w:eastAsia="仿宋" w:cs="仿宋"/>
          <w:b w:val="0"/>
          <w:bCs/>
          <w:i w:val="0"/>
          <w:caps w:val="0"/>
          <w:color w:val="auto"/>
          <w:spacing w:val="0"/>
          <w:sz w:val="32"/>
          <w:szCs w:val="32"/>
          <w:lang w:val="en-US" w:eastAsia="zh-CN"/>
        </w:rPr>
        <w:t>8类政府信息重点公开，项目立项信息通过市发展改革委网站“项目公示”栏目公开；招投标信息通过市公共资源交易中心网站“建设工程”栏目公开；征收土地信息通过“市征地信息公开查询系统”公开；重大设计变更、施工、质量安全监督等信息通过相关职能部门网站公开；对建筑企业诚信情况进行日排名并通过市建筑市场公开信息平台实时公开。</w:t>
      </w:r>
    </w:p>
    <w:p>
      <w:pPr>
        <w:ind w:firstLine="643" w:firstLineChars="20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bCs w:val="0"/>
          <w:i w:val="0"/>
          <w:caps w:val="0"/>
          <w:color w:val="auto"/>
          <w:spacing w:val="0"/>
          <w:sz w:val="32"/>
          <w:szCs w:val="32"/>
          <w:lang w:val="en-US" w:eastAsia="zh-CN"/>
        </w:rPr>
        <w:t>三是推进公共资源配置领域信息公开。</w:t>
      </w:r>
      <w:r>
        <w:rPr>
          <w:rFonts w:hint="eastAsia" w:ascii="仿宋" w:hAnsi="仿宋" w:eastAsia="仿宋" w:cs="仿宋"/>
          <w:b w:val="0"/>
          <w:bCs/>
          <w:i w:val="0"/>
          <w:caps w:val="0"/>
          <w:color w:val="auto"/>
          <w:spacing w:val="0"/>
          <w:sz w:val="32"/>
          <w:szCs w:val="32"/>
          <w:lang w:val="en-US" w:eastAsia="zh-CN"/>
        </w:rPr>
        <w:t>对住房保障、国有土地使用权出让、矿业权出让、政府采购、国有产权交易、工程建设项目招标投标等公共资源配置领域信息全面公开，</w:t>
      </w:r>
      <w:r>
        <w:rPr>
          <w:rFonts w:hint="eastAsia" w:ascii="仿宋" w:hAnsi="仿宋" w:eastAsia="仿宋" w:cs="仿宋"/>
          <w:b/>
          <w:bCs w:val="0"/>
          <w:i w:val="0"/>
          <w:caps w:val="0"/>
          <w:color w:val="auto"/>
          <w:spacing w:val="0"/>
          <w:sz w:val="32"/>
          <w:szCs w:val="32"/>
          <w:lang w:val="en-US" w:eastAsia="zh-CN"/>
        </w:rPr>
        <w:t>住房保障方面：</w:t>
      </w:r>
      <w:r>
        <w:rPr>
          <w:rFonts w:hint="eastAsia" w:ascii="仿宋" w:hAnsi="仿宋" w:eastAsia="仿宋" w:cs="仿宋"/>
          <w:b w:val="0"/>
          <w:bCs/>
          <w:i w:val="0"/>
          <w:caps w:val="0"/>
          <w:color w:val="auto"/>
          <w:spacing w:val="0"/>
          <w:sz w:val="32"/>
          <w:szCs w:val="32"/>
          <w:lang w:val="en-US" w:eastAsia="zh-CN"/>
        </w:rPr>
        <w:t>通过市住房城乡建设局网站“三改三建”栏目对保障性住房、棚户区改造和农村危房改造等方面的总体</w:t>
      </w:r>
    </w:p>
    <w:p>
      <w:pPr>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br w:type="page"/>
      </w:r>
    </w:p>
    <w:p>
      <w:pPr>
        <w:rPr>
          <w:rFonts w:hint="eastAsia" w:ascii="仿宋" w:hAnsi="仿宋" w:eastAsia="仿宋" w:cs="仿宋"/>
          <w:b w:val="0"/>
          <w:bCs/>
          <w:i w:val="0"/>
          <w:caps w:val="0"/>
          <w:color w:val="auto"/>
          <w:spacing w:val="0"/>
          <w:sz w:val="32"/>
          <w:szCs w:val="32"/>
          <w:lang w:val="en-US" w:eastAsia="zh-CN"/>
        </w:rPr>
      </w:pPr>
      <w:r>
        <w:drawing>
          <wp:anchor distT="0" distB="0" distL="114300" distR="114300" simplePos="0" relativeHeight="474099712" behindDoc="1" locked="0" layoutInCell="1" allowOverlap="1">
            <wp:simplePos x="0" y="0"/>
            <wp:positionH relativeFrom="column">
              <wp:posOffset>1416050</wp:posOffset>
            </wp:positionH>
            <wp:positionV relativeFrom="paragraph">
              <wp:posOffset>5702300</wp:posOffset>
            </wp:positionV>
            <wp:extent cx="3808730" cy="2809240"/>
            <wp:effectExtent l="28575" t="28575" r="29845" b="0"/>
            <wp:wrapTight wrapText="bothSides">
              <wp:wrapPolygon>
                <wp:start x="-162" y="-220"/>
                <wp:lineTo x="-162" y="21605"/>
                <wp:lineTo x="21661" y="21605"/>
                <wp:lineTo x="21661" y="-220"/>
                <wp:lineTo x="-162" y="-220"/>
              </wp:wrapPolygon>
            </wp:wrapTight>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42"/>
                    <a:stretch>
                      <a:fillRect/>
                    </a:stretch>
                  </pic:blipFill>
                  <pic:spPr>
                    <a:xfrm>
                      <a:off x="0" y="0"/>
                      <a:ext cx="3808730" cy="2809240"/>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472778752" behindDoc="1" locked="0" layoutInCell="1" allowOverlap="1">
            <wp:simplePos x="0" y="0"/>
            <wp:positionH relativeFrom="column">
              <wp:posOffset>33655</wp:posOffset>
            </wp:positionH>
            <wp:positionV relativeFrom="paragraph">
              <wp:posOffset>454660</wp:posOffset>
            </wp:positionV>
            <wp:extent cx="3752850" cy="2466340"/>
            <wp:effectExtent l="28575" t="28575" r="28575" b="38735"/>
            <wp:wrapTight wrapText="bothSides">
              <wp:wrapPolygon>
                <wp:start x="-164" y="-250"/>
                <wp:lineTo x="-164" y="21606"/>
                <wp:lineTo x="21655" y="21606"/>
                <wp:lineTo x="21655" y="-250"/>
                <wp:lineTo x="-164" y="-250"/>
              </wp:wrapPolygon>
            </wp:wrapTight>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43"/>
                    <a:stretch>
                      <a:fillRect/>
                    </a:stretch>
                  </pic:blipFill>
                  <pic:spPr>
                    <a:xfrm>
                      <a:off x="0" y="0"/>
                      <a:ext cx="3752850" cy="246634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val="en-US" w:eastAsia="zh-CN"/>
        </w:rPr>
        <w:t>情况进行集中公开，主要公开棚户区改造项目调整信息、棚户区改造任务分解落实信息、农村危房改造信息、保障性住房专项资金管理使用信息等，对棚户区改造进展情况按月主动公开；通过市房管局网站“住房保障”栏目对我市经济适用房摇号选房信息、保障性住房房源剩余信息、</w:t>
      </w:r>
      <w:r>
        <w:rPr>
          <w:rFonts w:hint="eastAsia" w:ascii="仿宋" w:hAnsi="仿宋" w:eastAsia="仿宋" w:cs="仿宋"/>
          <w:b w:val="0"/>
          <w:bCs/>
          <w:i w:val="0"/>
          <w:caps w:val="0"/>
          <w:color w:val="auto"/>
          <w:spacing w:val="0"/>
          <w:sz w:val="32"/>
          <w:szCs w:val="32"/>
          <w:lang w:val="en-US" w:eastAsia="zh-CN"/>
        </w:rPr>
        <w:fldChar w:fldCharType="begin"/>
      </w:r>
      <w:r>
        <w:rPr>
          <w:rFonts w:hint="eastAsia" w:ascii="仿宋" w:hAnsi="仿宋" w:eastAsia="仿宋" w:cs="仿宋"/>
          <w:b w:val="0"/>
          <w:bCs/>
          <w:i w:val="0"/>
          <w:caps w:val="0"/>
          <w:color w:val="auto"/>
          <w:spacing w:val="0"/>
          <w:sz w:val="32"/>
          <w:szCs w:val="32"/>
          <w:lang w:val="en-US" w:eastAsia="zh-CN"/>
        </w:rPr>
        <w:instrText xml:space="preserve"> HYPERLINK "http://fc.zibo.gov.cn/art/2018/2/23/art_2626_1353688.html" \o "2017年底售后公有住房专项维修资金银行账户余额" </w:instrText>
      </w:r>
      <w:r>
        <w:rPr>
          <w:rFonts w:hint="eastAsia" w:ascii="仿宋" w:hAnsi="仿宋" w:eastAsia="仿宋" w:cs="仿宋"/>
          <w:b w:val="0"/>
          <w:bCs/>
          <w:i w:val="0"/>
          <w:caps w:val="0"/>
          <w:color w:val="auto"/>
          <w:spacing w:val="0"/>
          <w:sz w:val="32"/>
          <w:szCs w:val="32"/>
          <w:lang w:val="en-US" w:eastAsia="zh-CN"/>
        </w:rPr>
        <w:fldChar w:fldCharType="separate"/>
      </w:r>
      <w:r>
        <w:rPr>
          <w:rFonts w:hint="eastAsia" w:ascii="仿宋" w:hAnsi="仿宋" w:eastAsia="仿宋" w:cs="仿宋"/>
          <w:b w:val="0"/>
          <w:bCs/>
          <w:i w:val="0"/>
          <w:caps w:val="0"/>
          <w:color w:val="auto"/>
          <w:spacing w:val="0"/>
          <w:sz w:val="32"/>
          <w:szCs w:val="32"/>
          <w:lang w:val="en-US" w:eastAsia="zh-CN"/>
        </w:rPr>
        <w:t>售后公有住房专项维修资金银行账户余额</w:t>
      </w:r>
      <w:r>
        <w:rPr>
          <w:rFonts w:hint="eastAsia" w:ascii="仿宋" w:hAnsi="仿宋" w:eastAsia="仿宋" w:cs="仿宋"/>
          <w:b w:val="0"/>
          <w:bCs/>
          <w:i w:val="0"/>
          <w:caps w:val="0"/>
          <w:color w:val="auto"/>
          <w:spacing w:val="0"/>
          <w:sz w:val="32"/>
          <w:szCs w:val="32"/>
          <w:lang w:val="en-US" w:eastAsia="zh-CN"/>
        </w:rPr>
        <w:fldChar w:fldCharType="end"/>
      </w:r>
      <w:r>
        <w:rPr>
          <w:rFonts w:hint="eastAsia" w:ascii="仿宋" w:hAnsi="仿宋" w:eastAsia="仿宋" w:cs="仿宋"/>
          <w:b w:val="0"/>
          <w:bCs/>
          <w:i w:val="0"/>
          <w:caps w:val="0"/>
          <w:color w:val="auto"/>
          <w:spacing w:val="0"/>
          <w:sz w:val="32"/>
          <w:szCs w:val="32"/>
          <w:lang w:val="en-US" w:eastAsia="zh-CN"/>
        </w:rPr>
        <w:t>信息、</w:t>
      </w:r>
      <w:r>
        <w:rPr>
          <w:rFonts w:hint="eastAsia" w:ascii="仿宋" w:hAnsi="仿宋" w:eastAsia="仿宋" w:cs="仿宋"/>
          <w:b w:val="0"/>
          <w:bCs/>
          <w:i w:val="0"/>
          <w:caps w:val="0"/>
          <w:color w:val="auto"/>
          <w:spacing w:val="0"/>
          <w:sz w:val="32"/>
          <w:szCs w:val="32"/>
          <w:lang w:val="en-US" w:eastAsia="zh-CN"/>
        </w:rPr>
        <w:fldChar w:fldCharType="begin"/>
      </w:r>
      <w:r>
        <w:rPr>
          <w:rFonts w:hint="eastAsia" w:ascii="仿宋" w:hAnsi="仿宋" w:eastAsia="仿宋" w:cs="仿宋"/>
          <w:b w:val="0"/>
          <w:bCs/>
          <w:i w:val="0"/>
          <w:caps w:val="0"/>
          <w:color w:val="auto"/>
          <w:spacing w:val="0"/>
          <w:sz w:val="32"/>
          <w:szCs w:val="32"/>
          <w:lang w:val="en-US" w:eastAsia="zh-CN"/>
        </w:rPr>
        <w:instrText xml:space="preserve"> HYPERLINK "http://fc.zibo.gov.cn/art/2019/1/25/art_2626_1608793.html" \o "博山区公共租赁住房保障资格证申请家庭公示（2019年第1批）" </w:instrText>
      </w:r>
      <w:r>
        <w:rPr>
          <w:rFonts w:hint="eastAsia" w:ascii="仿宋" w:hAnsi="仿宋" w:eastAsia="仿宋" w:cs="仿宋"/>
          <w:b w:val="0"/>
          <w:bCs/>
          <w:i w:val="0"/>
          <w:caps w:val="0"/>
          <w:color w:val="auto"/>
          <w:spacing w:val="0"/>
          <w:sz w:val="32"/>
          <w:szCs w:val="32"/>
          <w:lang w:val="en-US" w:eastAsia="zh-CN"/>
        </w:rPr>
        <w:fldChar w:fldCharType="separate"/>
      </w:r>
      <w:r>
        <w:rPr>
          <w:rFonts w:hint="eastAsia" w:ascii="仿宋" w:hAnsi="仿宋" w:eastAsia="仿宋" w:cs="仿宋"/>
          <w:b w:val="0"/>
          <w:bCs/>
          <w:i w:val="0"/>
          <w:caps w:val="0"/>
          <w:color w:val="auto"/>
          <w:spacing w:val="0"/>
          <w:sz w:val="32"/>
          <w:szCs w:val="32"/>
          <w:lang w:val="en-US" w:eastAsia="zh-CN"/>
        </w:rPr>
        <w:t>公共租赁住房保障资格证申请家庭</w:t>
      </w:r>
      <w:r>
        <w:rPr>
          <w:rFonts w:hint="eastAsia" w:ascii="仿宋" w:hAnsi="仿宋" w:eastAsia="仿宋" w:cs="仿宋"/>
          <w:b w:val="0"/>
          <w:bCs/>
          <w:i w:val="0"/>
          <w:caps w:val="0"/>
          <w:color w:val="auto"/>
          <w:spacing w:val="0"/>
          <w:sz w:val="32"/>
          <w:szCs w:val="32"/>
          <w:lang w:val="en-US" w:eastAsia="zh-CN"/>
        </w:rPr>
        <w:fldChar w:fldCharType="end"/>
      </w:r>
      <w:r>
        <w:rPr>
          <w:rFonts w:hint="eastAsia" w:ascii="仿宋" w:hAnsi="仿宋" w:eastAsia="仿宋" w:cs="仿宋"/>
          <w:b w:val="0"/>
          <w:bCs/>
          <w:i w:val="0"/>
          <w:caps w:val="0"/>
          <w:color w:val="auto"/>
          <w:spacing w:val="0"/>
          <w:sz w:val="32"/>
          <w:szCs w:val="32"/>
          <w:lang w:val="en-US" w:eastAsia="zh-CN"/>
        </w:rPr>
        <w:t>信息进行集中公开，市公共租赁住房保障资格证申请条件、提交资料及申请流程，经济适用住房及限价商品房申请条件、办理流程及提交资料等信息亦通过网站主动公开。通过市政府网站“住房公积金”栏目公开我市住房公积金年度报告并解读，公开内容涵盖</w:t>
      </w:r>
    </w:p>
    <w:p>
      <w:pPr>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br w:type="page"/>
      </w:r>
    </w:p>
    <w:p>
      <w:pPr>
        <w:rPr>
          <w:rFonts w:hint="eastAsia" w:ascii="仿宋" w:hAnsi="仿宋" w:eastAsia="仿宋" w:cs="宋体"/>
          <w:color w:val="auto"/>
          <w:kern w:val="0"/>
          <w:sz w:val="32"/>
          <w:szCs w:val="32"/>
        </w:rPr>
      </w:pPr>
      <w:r>
        <w:rPr>
          <w:rFonts w:hint="eastAsia" w:ascii="仿宋" w:hAnsi="仿宋" w:eastAsia="仿宋" w:cs="仿宋"/>
          <w:b w:val="0"/>
          <w:bCs/>
          <w:i w:val="0"/>
          <w:caps w:val="0"/>
          <w:color w:val="auto"/>
          <w:spacing w:val="0"/>
          <w:sz w:val="32"/>
          <w:szCs w:val="32"/>
          <w:lang w:val="en-US" w:eastAsia="zh-CN"/>
        </w:rPr>
        <w:drawing>
          <wp:anchor distT="0" distB="0" distL="114300" distR="114300" simplePos="0" relativeHeight="715039744" behindDoc="1" locked="0" layoutInCell="1" allowOverlap="1">
            <wp:simplePos x="0" y="0"/>
            <wp:positionH relativeFrom="column">
              <wp:posOffset>1437005</wp:posOffset>
            </wp:positionH>
            <wp:positionV relativeFrom="paragraph">
              <wp:posOffset>5263515</wp:posOffset>
            </wp:positionV>
            <wp:extent cx="3846830" cy="2466340"/>
            <wp:effectExtent l="28575" t="28575" r="29845" b="38735"/>
            <wp:wrapTight wrapText="bothSides">
              <wp:wrapPolygon>
                <wp:start x="-160" y="-250"/>
                <wp:lineTo x="-160" y="21606"/>
                <wp:lineTo x="21661" y="21606"/>
                <wp:lineTo x="21661" y="-250"/>
                <wp:lineTo x="-160" y="-250"/>
              </wp:wrapPolygon>
            </wp:wrapTight>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4"/>
                    <a:stretch>
                      <a:fillRect/>
                    </a:stretch>
                  </pic:blipFill>
                  <pic:spPr>
                    <a:xfrm>
                      <a:off x="0" y="0"/>
                      <a:ext cx="3846830" cy="246634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val="en-US" w:eastAsia="zh-CN"/>
        </w:rPr>
        <w:drawing>
          <wp:anchor distT="0" distB="0" distL="114300" distR="114300" simplePos="0" relativeHeight="709754880" behindDoc="1" locked="0" layoutInCell="1" allowOverlap="1">
            <wp:simplePos x="0" y="0"/>
            <wp:positionH relativeFrom="column">
              <wp:posOffset>-9525</wp:posOffset>
            </wp:positionH>
            <wp:positionV relativeFrom="paragraph">
              <wp:posOffset>776605</wp:posOffset>
            </wp:positionV>
            <wp:extent cx="3834130" cy="2765425"/>
            <wp:effectExtent l="28575" t="28575" r="42545" b="44450"/>
            <wp:wrapTight wrapText="bothSides">
              <wp:wrapPolygon>
                <wp:start x="-161" y="-223"/>
                <wp:lineTo x="-161" y="21650"/>
                <wp:lineTo x="21625" y="21650"/>
                <wp:lineTo x="21625" y="-223"/>
                <wp:lineTo x="-161" y="-223"/>
              </wp:wrapPolygon>
            </wp:wrapTight>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5"/>
                    <a:stretch>
                      <a:fillRect/>
                    </a:stretch>
                  </pic:blipFill>
                  <pic:spPr>
                    <a:xfrm>
                      <a:off x="0" y="0"/>
                      <a:ext cx="3834130" cy="276542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仿宋"/>
          <w:b w:val="0"/>
          <w:bCs/>
          <w:i w:val="0"/>
          <w:caps w:val="0"/>
          <w:color w:val="auto"/>
          <w:spacing w:val="0"/>
          <w:sz w:val="32"/>
          <w:szCs w:val="32"/>
          <w:lang w:val="en-US" w:eastAsia="zh-CN"/>
        </w:rPr>
        <w:t>住房公积金缴存提取情况、收入支出情况、资产风险状况等信息；按季度公开《淄博市住房公积金运行情况》，公开内容主要包括我市住房公积金缴存、提取、贷款、财务以及风险状况等管理运行信息。</w:t>
      </w:r>
      <w:r>
        <w:rPr>
          <w:rFonts w:hint="eastAsia" w:ascii="仿宋" w:hAnsi="仿宋" w:eastAsia="仿宋" w:cs="仿宋"/>
          <w:b/>
          <w:bCs w:val="0"/>
          <w:i w:val="0"/>
          <w:caps w:val="0"/>
          <w:color w:val="auto"/>
          <w:spacing w:val="0"/>
          <w:sz w:val="32"/>
          <w:szCs w:val="32"/>
          <w:lang w:val="en-US" w:eastAsia="zh-CN"/>
        </w:rPr>
        <w:t>国有土地使用权出让方面：</w:t>
      </w:r>
      <w:r>
        <w:rPr>
          <w:rFonts w:hint="eastAsia" w:ascii="仿宋" w:hAnsi="仿宋" w:eastAsia="仿宋" w:cs="宋体"/>
          <w:color w:val="auto"/>
          <w:kern w:val="0"/>
          <w:sz w:val="32"/>
          <w:szCs w:val="32"/>
          <w:lang w:val="en-US" w:eastAsia="zh-CN"/>
        </w:rPr>
        <w:t>主要通</w:t>
      </w:r>
      <w:r>
        <w:rPr>
          <w:rFonts w:hint="eastAsia" w:ascii="仿宋" w:hAnsi="仿宋" w:eastAsia="仿宋" w:cs="仿宋"/>
          <w:b w:val="0"/>
          <w:bCs/>
          <w:i w:val="0"/>
          <w:caps w:val="0"/>
          <w:color w:val="auto"/>
          <w:spacing w:val="0"/>
          <w:sz w:val="32"/>
          <w:szCs w:val="32"/>
          <w:lang w:val="en-US" w:eastAsia="zh-CN"/>
        </w:rPr>
        <w:t>过市国土资源局“土地招拍挂公告”“土地出让结果公示”“建设用地审批结果”“划拨用地结果公示”等栏目分类分项公开，</w:t>
      </w:r>
      <w:r>
        <w:rPr>
          <w:rFonts w:hint="eastAsia" w:ascii="仿宋" w:hAnsi="仿宋" w:eastAsia="仿宋" w:cs="宋体"/>
          <w:color w:val="auto"/>
          <w:kern w:val="0"/>
          <w:sz w:val="32"/>
          <w:szCs w:val="32"/>
        </w:rPr>
        <w:t>划拨及协议出让土地审批事项的决定书文号、事项名称、设定依据、相对人名称、社会信用代码及审批部门等办理结果信息</w:t>
      </w:r>
      <w:r>
        <w:rPr>
          <w:rFonts w:hint="eastAsia" w:ascii="仿宋" w:hAnsi="仿宋" w:eastAsia="仿宋" w:cs="宋体"/>
          <w:color w:val="auto"/>
          <w:kern w:val="0"/>
          <w:sz w:val="32"/>
          <w:szCs w:val="32"/>
          <w:lang w:eastAsia="zh-CN"/>
        </w:rPr>
        <w:t>及时公开</w:t>
      </w:r>
      <w:r>
        <w:rPr>
          <w:rFonts w:hint="eastAsia" w:ascii="仿宋" w:hAnsi="仿宋" w:eastAsia="仿宋" w:cs="宋体"/>
          <w:color w:val="auto"/>
          <w:kern w:val="0"/>
          <w:sz w:val="32"/>
          <w:szCs w:val="32"/>
        </w:rPr>
        <w:t>。</w:t>
      </w:r>
      <w:r>
        <w:rPr>
          <w:rFonts w:hint="eastAsia" w:ascii="仿宋" w:hAnsi="仿宋" w:eastAsia="仿宋" w:cs="宋体"/>
          <w:b/>
          <w:bCs/>
          <w:color w:val="auto"/>
          <w:kern w:val="0"/>
          <w:sz w:val="32"/>
          <w:szCs w:val="32"/>
          <w:lang w:eastAsia="zh-CN"/>
        </w:rPr>
        <w:t>矿业权出让方面：</w:t>
      </w:r>
      <w:r>
        <w:rPr>
          <w:rFonts w:hint="eastAsia" w:ascii="仿宋" w:hAnsi="仿宋" w:eastAsia="仿宋" w:cs="宋体"/>
          <w:color w:val="auto"/>
          <w:kern w:val="0"/>
          <w:sz w:val="32"/>
          <w:szCs w:val="32"/>
          <w:lang w:eastAsia="zh-CN"/>
        </w:rPr>
        <w:t>主要通过市国土资源局“</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"http://gtj.zibo.gov.cn/col/col527/index.html"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采矿权审批结果公示</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"http://gtj.zibo.gov.cn/col/col528/index.html"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矿业权招拍挂出让公告</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"http://gtj.zibo.gov.cn/col/col529/index.html"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矿业权招拍挂出让结果公示</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w:t>
      </w:r>
      <w:r>
        <w:rPr>
          <w:rFonts w:hint="eastAsia" w:ascii="仿宋" w:hAnsi="仿宋" w:eastAsia="仿宋" w:cs="宋体"/>
          <w:color w:val="auto"/>
          <w:kern w:val="0"/>
          <w:sz w:val="32"/>
          <w:szCs w:val="32"/>
        </w:rPr>
        <w:fldChar w:fldCharType="begin"/>
      </w:r>
      <w:r>
        <w:rPr>
          <w:rFonts w:hint="eastAsia" w:ascii="仿宋" w:hAnsi="仿宋" w:eastAsia="仿宋" w:cs="宋体"/>
          <w:color w:val="auto"/>
          <w:kern w:val="0"/>
          <w:sz w:val="32"/>
          <w:szCs w:val="32"/>
        </w:rPr>
        <w:instrText xml:space="preserve"> HYPERLINK "http://gtj.zibo.gov.cn/col/col530/index.html" </w:instrText>
      </w:r>
      <w:r>
        <w:rPr>
          <w:rFonts w:hint="eastAsia" w:ascii="仿宋" w:hAnsi="仿宋" w:eastAsia="仿宋" w:cs="宋体"/>
          <w:color w:val="auto"/>
          <w:kern w:val="0"/>
          <w:sz w:val="32"/>
          <w:szCs w:val="32"/>
        </w:rPr>
        <w:fldChar w:fldCharType="separate"/>
      </w:r>
      <w:r>
        <w:rPr>
          <w:rFonts w:hint="eastAsia" w:ascii="仿宋" w:hAnsi="仿宋" w:eastAsia="仿宋" w:cs="宋体"/>
          <w:color w:val="auto"/>
          <w:kern w:val="0"/>
          <w:sz w:val="32"/>
          <w:szCs w:val="32"/>
        </w:rPr>
        <w:t>矿产权转让公示</w:t>
      </w:r>
      <w:r>
        <w:rPr>
          <w:rFonts w:hint="eastAsia" w:ascii="仿宋" w:hAnsi="仿宋" w:eastAsia="仿宋" w:cs="宋体"/>
          <w:color w:val="auto"/>
          <w:kern w:val="0"/>
          <w:sz w:val="32"/>
          <w:szCs w:val="32"/>
        </w:rPr>
        <w:fldChar w:fldCharType="end"/>
      </w:r>
      <w:r>
        <w:rPr>
          <w:rFonts w:hint="eastAsia" w:ascii="仿宋" w:hAnsi="仿宋" w:eastAsia="仿宋" w:cs="宋体"/>
          <w:color w:val="auto"/>
          <w:kern w:val="0"/>
          <w:sz w:val="32"/>
          <w:szCs w:val="32"/>
          <w:lang w:eastAsia="zh-CN"/>
        </w:rPr>
        <w:t>”等栏目</w:t>
      </w:r>
      <w:r>
        <w:rPr>
          <w:rFonts w:hint="eastAsia" w:ascii="仿宋" w:hAnsi="仿宋" w:eastAsia="仿宋" w:cs="仿宋"/>
          <w:b w:val="0"/>
          <w:bCs/>
          <w:i w:val="0"/>
          <w:caps w:val="0"/>
          <w:color w:val="auto"/>
          <w:spacing w:val="0"/>
          <w:sz w:val="32"/>
          <w:szCs w:val="32"/>
          <w:lang w:val="en-US" w:eastAsia="zh-CN"/>
        </w:rPr>
        <w:t>分类分项公开，</w:t>
      </w:r>
      <w:r>
        <w:rPr>
          <w:rFonts w:hint="eastAsia" w:ascii="仿宋" w:hAnsi="仿宋" w:eastAsia="仿宋" w:cs="宋体"/>
          <w:color w:val="auto"/>
          <w:kern w:val="0"/>
          <w:sz w:val="32"/>
          <w:szCs w:val="32"/>
          <w:lang w:eastAsia="zh-CN"/>
        </w:rPr>
        <w:t>截至</w:t>
      </w:r>
      <w:r>
        <w:rPr>
          <w:rFonts w:hint="eastAsia" w:ascii="仿宋" w:hAnsi="仿宋" w:eastAsia="仿宋" w:cs="宋体"/>
          <w:color w:val="auto"/>
          <w:kern w:val="0"/>
          <w:sz w:val="32"/>
          <w:szCs w:val="32"/>
        </w:rPr>
        <w:t>2018</w:t>
      </w:r>
    </w:p>
    <w:p>
      <w:pPr>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br w:type="page"/>
      </w:r>
    </w:p>
    <w:p>
      <w:pPr>
        <w:rPr>
          <w:rFonts w:hint="eastAsia" w:ascii="仿宋" w:hAnsi="仿宋" w:eastAsia="仿宋" w:cs="宋体"/>
          <w:color w:val="auto"/>
          <w:kern w:val="0"/>
          <w:sz w:val="32"/>
          <w:szCs w:val="32"/>
          <w:lang w:val="en-US" w:eastAsia="zh-CN"/>
        </w:rPr>
      </w:pPr>
      <w:r>
        <w:drawing>
          <wp:anchor distT="0" distB="0" distL="114300" distR="114300" simplePos="0" relativeHeight="953339904" behindDoc="1" locked="0" layoutInCell="1" allowOverlap="1">
            <wp:simplePos x="0" y="0"/>
            <wp:positionH relativeFrom="column">
              <wp:posOffset>1284605</wp:posOffset>
            </wp:positionH>
            <wp:positionV relativeFrom="paragraph">
              <wp:posOffset>509270</wp:posOffset>
            </wp:positionV>
            <wp:extent cx="3907155" cy="2418080"/>
            <wp:effectExtent l="28575" t="9525" r="45720" b="29845"/>
            <wp:wrapTight wrapText="bothSides">
              <wp:wrapPolygon>
                <wp:start x="-158" y="-255"/>
                <wp:lineTo x="-158" y="21696"/>
                <wp:lineTo x="21642" y="21696"/>
                <wp:lineTo x="21642" y="-255"/>
                <wp:lineTo x="-158" y="-255"/>
              </wp:wrapPolygon>
            </wp:wrapTight>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46"/>
                    <a:stretch>
                      <a:fillRect/>
                    </a:stretch>
                  </pic:blipFill>
                  <pic:spPr>
                    <a:xfrm>
                      <a:off x="0" y="0"/>
                      <a:ext cx="3907155" cy="241808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rPr>
        <w:t>年3月31日，我市68</w:t>
      </w:r>
      <w:r>
        <w:rPr>
          <w:rFonts w:hint="eastAsia" w:ascii="仿宋" w:hAnsi="微软雅黑" w:eastAsia="仿宋" w:cs="宋体"/>
          <w:color w:val="auto"/>
          <w:kern w:val="0"/>
          <w:sz w:val="32"/>
          <w:szCs w:val="32"/>
        </w:rPr>
        <w:t> </w:t>
      </w:r>
      <w:r>
        <w:rPr>
          <w:rFonts w:hint="eastAsia" w:ascii="仿宋" w:hAnsi="仿宋" w:eastAsia="仿宋" w:cs="宋体"/>
          <w:color w:val="auto"/>
          <w:kern w:val="0"/>
          <w:sz w:val="32"/>
          <w:szCs w:val="32"/>
        </w:rPr>
        <w:t>个采矿权、11个探矿权按照信息公示的要求均及时进行了填报和公示，没有因</w:t>
      </w:r>
      <w:r>
        <w:rPr>
          <w:rFonts w:hint="eastAsia" w:ascii="仿宋" w:hAnsi="仿宋" w:eastAsia="仿宋" w:cs="宋体"/>
          <w:color w:val="auto"/>
          <w:kern w:val="0"/>
          <w:sz w:val="32"/>
          <w:szCs w:val="32"/>
          <w:lang w:eastAsia="zh-CN"/>
        </w:rPr>
        <w:t>未</w:t>
      </w:r>
      <w:r>
        <w:rPr>
          <w:rFonts w:hint="eastAsia" w:ascii="仿宋" w:hAnsi="仿宋" w:eastAsia="仿宋" w:cs="宋体"/>
          <w:color w:val="auto"/>
          <w:kern w:val="0"/>
          <w:sz w:val="32"/>
          <w:szCs w:val="32"/>
        </w:rPr>
        <w:t>公示列入异常名录的情况。</w:t>
      </w:r>
      <w:r>
        <w:rPr>
          <w:rFonts w:hint="eastAsia" w:ascii="仿宋" w:hAnsi="仿宋" w:eastAsia="仿宋" w:cs="宋体"/>
          <w:b/>
          <w:bCs/>
          <w:color w:val="auto"/>
          <w:kern w:val="0"/>
          <w:sz w:val="32"/>
          <w:szCs w:val="32"/>
          <w:lang w:eastAsia="zh-CN"/>
        </w:rPr>
        <w:t>政府采购、国有产权交易、工程建设项目招投标等交易方面：</w:t>
      </w:r>
      <w:r>
        <w:rPr>
          <w:rFonts w:hint="eastAsia" w:ascii="仿宋" w:hAnsi="仿宋" w:eastAsia="仿宋" w:cs="宋体"/>
          <w:color w:val="auto"/>
          <w:kern w:val="0"/>
          <w:sz w:val="32"/>
          <w:szCs w:val="32"/>
          <w:lang w:eastAsia="zh-CN"/>
        </w:rPr>
        <w:t>主要通过</w:t>
      </w:r>
      <w:r>
        <w:rPr>
          <w:rFonts w:hint="eastAsia" w:ascii="仿宋" w:hAnsi="仿宋" w:eastAsia="仿宋" w:cs="宋体"/>
          <w:color w:val="auto"/>
          <w:kern w:val="0"/>
          <w:sz w:val="32"/>
          <w:szCs w:val="32"/>
        </w:rPr>
        <w:t>市政府采购网</w:t>
      </w:r>
      <w:r>
        <w:rPr>
          <w:rFonts w:hint="eastAsia" w:ascii="仿宋" w:hAnsi="仿宋" w:eastAsia="仿宋" w:cs="宋体"/>
          <w:color w:val="auto"/>
          <w:kern w:val="0"/>
          <w:sz w:val="32"/>
          <w:szCs w:val="32"/>
          <w:lang w:eastAsia="zh-CN"/>
        </w:rPr>
        <w:t>、市公共资源交易网向公众公开，</w:t>
      </w:r>
      <w:r>
        <w:rPr>
          <w:rFonts w:hint="eastAsia" w:ascii="仿宋" w:hAnsi="仿宋" w:eastAsia="仿宋" w:cs="宋体"/>
          <w:color w:val="auto"/>
          <w:kern w:val="0"/>
          <w:sz w:val="32"/>
          <w:szCs w:val="32"/>
          <w:lang w:val="en-US" w:eastAsia="zh-CN"/>
        </w:rPr>
        <w:t>2018年共计公开</w:t>
      </w:r>
      <w:r>
        <w:rPr>
          <w:rFonts w:hint="eastAsia" w:ascii="仿宋" w:hAnsi="仿宋" w:eastAsia="仿宋" w:cs="宋体"/>
          <w:color w:val="auto"/>
          <w:kern w:val="0"/>
          <w:sz w:val="32"/>
          <w:szCs w:val="32"/>
        </w:rPr>
        <w:t>交易公告、资格审查、成交信息、履约信息以及有关变更信息等</w:t>
      </w:r>
      <w:r>
        <w:rPr>
          <w:rFonts w:hint="eastAsia" w:ascii="仿宋" w:hAnsi="仿宋" w:eastAsia="仿宋" w:cs="宋体"/>
          <w:color w:val="auto"/>
          <w:kern w:val="0"/>
          <w:sz w:val="32"/>
          <w:szCs w:val="32"/>
          <w:lang w:val="en-US" w:eastAsia="zh-CN"/>
        </w:rPr>
        <w:t>8000余条。</w:t>
      </w:r>
    </w:p>
    <w:p>
      <w:pPr>
        <w:widowControl/>
        <w:spacing w:before="100" w:after="100"/>
        <w:ind w:firstLine="645"/>
        <w:jc w:val="both"/>
        <w:rPr>
          <w:rFonts w:hint="eastAsia" w:ascii="仿宋" w:hAnsi="仿宋" w:eastAsia="仿宋" w:cs="宋体"/>
          <w:color w:val="auto"/>
          <w:kern w:val="0"/>
          <w:sz w:val="32"/>
          <w:szCs w:val="32"/>
          <w:lang w:val="en-US" w:eastAsia="zh-CN"/>
        </w:rPr>
      </w:pPr>
      <w:r>
        <w:drawing>
          <wp:anchor distT="0" distB="0" distL="114300" distR="114300" simplePos="0" relativeHeight="955985920" behindDoc="1" locked="0" layoutInCell="1" allowOverlap="1">
            <wp:simplePos x="0" y="0"/>
            <wp:positionH relativeFrom="column">
              <wp:posOffset>-5715</wp:posOffset>
            </wp:positionH>
            <wp:positionV relativeFrom="paragraph">
              <wp:posOffset>590550</wp:posOffset>
            </wp:positionV>
            <wp:extent cx="3877310" cy="2806065"/>
            <wp:effectExtent l="28575" t="28575" r="37465" b="41910"/>
            <wp:wrapTight wrapText="bothSides">
              <wp:wrapPolygon>
                <wp:start x="-159" y="-220"/>
                <wp:lineTo x="-159" y="21629"/>
                <wp:lineTo x="21703" y="21629"/>
                <wp:lineTo x="21703" y="-220"/>
                <wp:lineTo x="-159" y="-220"/>
              </wp:wrapPolygon>
            </wp:wrapTight>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47"/>
                    <a:stretch>
                      <a:fillRect/>
                    </a:stretch>
                  </pic:blipFill>
                  <pic:spPr>
                    <a:xfrm>
                      <a:off x="0" y="0"/>
                      <a:ext cx="3877310" cy="2806065"/>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b/>
          <w:bCs/>
          <w:color w:val="auto"/>
          <w:kern w:val="0"/>
          <w:sz w:val="32"/>
          <w:szCs w:val="32"/>
          <w:lang w:val="en-US" w:eastAsia="zh-CN"/>
        </w:rPr>
        <w:t>四是推进民生领域信息公开。社会救助领域：</w:t>
      </w:r>
      <w:r>
        <w:rPr>
          <w:rFonts w:hint="eastAsia" w:ascii="仿宋" w:hAnsi="仿宋" w:eastAsia="仿宋" w:cs="宋体"/>
          <w:color w:val="auto"/>
          <w:kern w:val="0"/>
          <w:sz w:val="32"/>
          <w:szCs w:val="32"/>
          <w:lang w:val="en-US" w:eastAsia="zh-CN"/>
        </w:rPr>
        <w:t>重点公开城乡低保、特困人员供养、医疗救助、临时救助等救助信息，城市低保、农村低保、医疗救助、临时救助等社会救助人数、标准、补助水平、资金支出信息按季度统计并公</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eastAsia" w:ascii="仿宋" w:hAnsi="仿宋" w:eastAsia="仿宋" w:cs="宋体"/>
          <w:color w:val="auto"/>
          <w:kern w:val="0"/>
          <w:sz w:val="32"/>
          <w:szCs w:val="32"/>
          <w:lang w:val="en-US" w:eastAsia="zh-CN"/>
        </w:rPr>
      </w:pPr>
      <w:r>
        <w:drawing>
          <wp:anchor distT="0" distB="0" distL="114300" distR="114300" simplePos="0" relativeHeight="969220096" behindDoc="1" locked="0" layoutInCell="1" allowOverlap="1">
            <wp:simplePos x="0" y="0"/>
            <wp:positionH relativeFrom="column">
              <wp:posOffset>1462405</wp:posOffset>
            </wp:positionH>
            <wp:positionV relativeFrom="paragraph">
              <wp:posOffset>5448935</wp:posOffset>
            </wp:positionV>
            <wp:extent cx="3810635" cy="2878455"/>
            <wp:effectExtent l="28575" t="28575" r="46990" b="45720"/>
            <wp:wrapTight wrapText="bothSides">
              <wp:wrapPolygon>
                <wp:start x="-162" y="-214"/>
                <wp:lineTo x="-162" y="21657"/>
                <wp:lineTo x="21650" y="21657"/>
                <wp:lineTo x="21650" y="-214"/>
                <wp:lineTo x="-162" y="-214"/>
              </wp:wrapPolygon>
            </wp:wrapTight>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8"/>
                    <a:stretch>
                      <a:fillRect/>
                    </a:stretch>
                  </pic:blipFill>
                  <pic:spPr>
                    <a:xfrm>
                      <a:off x="0" y="0"/>
                      <a:ext cx="3810635" cy="2878455"/>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961278976" behindDoc="1" locked="0" layoutInCell="1" allowOverlap="1">
            <wp:simplePos x="0" y="0"/>
            <wp:positionH relativeFrom="column">
              <wp:posOffset>-64770</wp:posOffset>
            </wp:positionH>
            <wp:positionV relativeFrom="paragraph">
              <wp:posOffset>2077720</wp:posOffset>
            </wp:positionV>
            <wp:extent cx="5216525" cy="2367280"/>
            <wp:effectExtent l="28575" t="28575" r="0" b="42545"/>
            <wp:wrapTight wrapText="bothSides">
              <wp:wrapPolygon>
                <wp:start x="-118" y="-261"/>
                <wp:lineTo x="-118" y="21641"/>
                <wp:lineTo x="21653" y="21641"/>
                <wp:lineTo x="21653" y="-261"/>
                <wp:lineTo x="-118" y="-261"/>
              </wp:wrapPolygon>
            </wp:wrapTight>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49"/>
                    <a:stretch>
                      <a:fillRect/>
                    </a:stretch>
                  </pic:blipFill>
                  <pic:spPr>
                    <a:xfrm>
                      <a:off x="0" y="0"/>
                      <a:ext cx="5216525" cy="236728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lang w:val="en-US" w:eastAsia="zh-CN"/>
        </w:rPr>
        <w:t>开，城乡低保家庭信息，包括户主姓名、家庭地址、保障人口数、户月保障金额、监督举报电话等信息通过市政府网站“救助统计信息”栏目亦按季度公开；“</w:t>
      </w:r>
      <w:r>
        <w:rPr>
          <w:rFonts w:hint="eastAsia" w:ascii="仿宋" w:hAnsi="仿宋" w:eastAsia="仿宋" w:cs="宋体"/>
          <w:color w:val="auto"/>
          <w:kern w:val="0"/>
          <w:sz w:val="32"/>
          <w:szCs w:val="32"/>
          <w:highlight w:val="none"/>
          <w:lang w:val="en-US" w:eastAsia="zh-CN"/>
        </w:rPr>
        <w:t>化建骨健康救助基金</w:t>
      </w:r>
      <w:r>
        <w:rPr>
          <w:rFonts w:hint="eastAsia" w:ascii="仿宋" w:hAnsi="仿宋" w:eastAsia="仿宋" w:cs="宋体"/>
          <w:color w:val="auto"/>
          <w:kern w:val="0"/>
          <w:sz w:val="32"/>
          <w:szCs w:val="32"/>
          <w:lang w:val="en-US" w:eastAsia="zh-CN"/>
        </w:rPr>
        <w:t>”救助项目、“圣联慈善基金”救助项目、“麦田公益基金”救助项目、“思源爱心援助基金”救助项目、定向（专项）基金救助项目等执行情况按季度通过市政府网站和市民政局网站公示。</w:t>
      </w:r>
      <w:r>
        <w:rPr>
          <w:rFonts w:hint="eastAsia" w:ascii="仿宋" w:hAnsi="仿宋" w:eastAsia="仿宋" w:cs="宋体"/>
          <w:b/>
          <w:bCs/>
          <w:color w:val="auto"/>
          <w:kern w:val="0"/>
          <w:sz w:val="32"/>
          <w:szCs w:val="32"/>
          <w:lang w:val="en-US" w:eastAsia="zh-CN"/>
        </w:rPr>
        <w:t>教育领域：</w:t>
      </w:r>
      <w:r>
        <w:rPr>
          <w:rFonts w:hint="eastAsia" w:ascii="仿宋" w:hAnsi="仿宋" w:eastAsia="仿宋" w:cs="宋体"/>
          <w:color w:val="auto"/>
          <w:kern w:val="0"/>
          <w:sz w:val="32"/>
          <w:szCs w:val="32"/>
          <w:lang w:val="en-US" w:eastAsia="zh-CN"/>
        </w:rPr>
        <w:t>市教育局在其网站开设专栏，对全市义务教育招生入学信息集中公开，内容包括：招生政策、招生范围、招生程序、招生条件和服务电话，家庭</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default"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困难学生入学、随迁子女和农村留守儿童入学、残疾儿童入学、各类优抚优待对象子女入学政策及招生结果；学前教育、普通高中教育、职业教育、民办教育、社区教育相关信息均通过相应专栏集中公开；“全面改薄”工作进展、工程质量和安全管理情况及时向社会公布,全面接受社会监督；年内发布《解决大班额问题工作进展情况通报》7期，内容涵盖全市解决“大班额”投资完成情况、学校建设情况、开竣工面积、全市班额达标情况等;通过市学生资助中心网站公开农村建档立卡贫困家庭学生补助、农村家庭经济困难学生和涉农专业学生免学费减免、特困生生活补助等相关政策法规，学生资助、救助等信息。</w:t>
      </w:r>
      <w:r>
        <w:rPr>
          <w:rFonts w:hint="eastAsia" w:ascii="仿宋" w:hAnsi="仿宋" w:eastAsia="仿宋" w:cs="宋体"/>
          <w:b/>
          <w:bCs/>
          <w:color w:val="auto"/>
          <w:kern w:val="0"/>
          <w:sz w:val="32"/>
          <w:szCs w:val="32"/>
          <w:lang w:val="en-US" w:eastAsia="zh-CN"/>
        </w:rPr>
        <w:t>医疗卫生领域：</w:t>
      </w:r>
      <w:r>
        <w:rPr>
          <w:rFonts w:hint="eastAsia" w:ascii="仿宋" w:hAnsi="仿宋" w:eastAsia="仿宋" w:cs="宋体"/>
          <w:color w:val="auto"/>
          <w:kern w:val="0"/>
          <w:sz w:val="32"/>
          <w:szCs w:val="32"/>
          <w:lang w:val="en-US" w:eastAsia="zh-CN"/>
        </w:rPr>
        <w:t>扎实推进医疗机构院务公开，市卫生健康委员会直属医疗机构均建立了院务公开推进和监督机制，制定专门方案并落实专人推进工作，各医疗机构网站普遍设立“院务公开”或“信息公开”专栏，并能通过微博、微信、手机APP、LED电子显示屏、自助查询机、智慧医疗一体机、医院宣传窗等多种载体开展常规医疗服务价格、常用药品和主要医用耗材价格信息公示等信息公开工作；医养结合、健康管理等新型服务业消费情况及时公开，重点公布我市推进医养结合的政策、举措和成效，并对博山区、沂源县的典型做法予以推介；重点公布医疗卫生行风建设等卫生计生行风纪律的有关规定，建立违规违纪问题处理结果公开机制，改善群众就医感受，推进医德医风建</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drawing>
          <wp:anchor distT="0" distB="0" distL="114300" distR="114300" simplePos="0" relativeHeight="982478848" behindDoc="1" locked="0" layoutInCell="1" allowOverlap="1">
            <wp:simplePos x="0" y="0"/>
            <wp:positionH relativeFrom="column">
              <wp:posOffset>1569720</wp:posOffset>
            </wp:positionH>
            <wp:positionV relativeFrom="paragraph">
              <wp:posOffset>4459605</wp:posOffset>
            </wp:positionV>
            <wp:extent cx="3505200" cy="2706370"/>
            <wp:effectExtent l="28575" t="28575" r="28575" b="46355"/>
            <wp:wrapTight wrapText="bothSides">
              <wp:wrapPolygon>
                <wp:start x="-176" y="-228"/>
                <wp:lineTo x="-176" y="21666"/>
                <wp:lineTo x="21659" y="21666"/>
                <wp:lineTo x="21659" y="-228"/>
                <wp:lineTo x="-176" y="-228"/>
              </wp:wrapPolygon>
            </wp:wrapTight>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50"/>
                    <a:stretch>
                      <a:fillRect/>
                    </a:stretch>
                  </pic:blipFill>
                  <pic:spPr>
                    <a:xfrm>
                      <a:off x="0" y="0"/>
                      <a:ext cx="3505200" cy="270637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color w:val="auto"/>
          <w:kern w:val="0"/>
          <w:sz w:val="32"/>
          <w:szCs w:val="32"/>
          <w:lang w:val="en-US" w:eastAsia="zh-CN"/>
        </w:rPr>
        <w:t>设。</w:t>
      </w:r>
      <w:r>
        <w:rPr>
          <w:rFonts w:hint="eastAsia" w:ascii="仿宋" w:hAnsi="仿宋" w:eastAsia="仿宋" w:cs="宋体"/>
          <w:b/>
          <w:bCs/>
          <w:color w:val="auto"/>
          <w:kern w:val="0"/>
          <w:sz w:val="32"/>
          <w:szCs w:val="32"/>
          <w:lang w:val="en-US" w:eastAsia="zh-CN"/>
        </w:rPr>
        <w:t>环境保护领域：</w:t>
      </w:r>
      <w:r>
        <w:rPr>
          <w:rFonts w:hint="eastAsia" w:ascii="仿宋" w:hAnsi="仿宋" w:eastAsia="仿宋" w:cs="宋体"/>
          <w:color w:val="auto"/>
          <w:kern w:val="0"/>
          <w:sz w:val="32"/>
          <w:szCs w:val="32"/>
          <w:lang w:val="en-US" w:eastAsia="zh-CN"/>
        </w:rPr>
        <w:t>市环保局出刊</w:t>
      </w:r>
      <w:r>
        <w:rPr>
          <w:rFonts w:hint="eastAsia" w:ascii="仿宋_GB2312" w:hAnsi="仿宋_GB2312" w:eastAsia="仿宋_GB2312" w:cs="仿宋_GB2312"/>
          <w:color w:val="auto"/>
          <w:kern w:val="0"/>
          <w:sz w:val="32"/>
          <w:szCs w:val="32"/>
          <w:lang w:val="en-US" w:eastAsia="zh-CN"/>
        </w:rPr>
        <w:t>《生态淄博建设</w:t>
      </w:r>
      <w:r>
        <w:drawing>
          <wp:anchor distT="0" distB="0" distL="114300" distR="114300" simplePos="0" relativeHeight="971869184" behindDoc="1" locked="0" layoutInCell="1" allowOverlap="1">
            <wp:simplePos x="0" y="0"/>
            <wp:positionH relativeFrom="column">
              <wp:posOffset>-88265</wp:posOffset>
            </wp:positionH>
            <wp:positionV relativeFrom="paragraph">
              <wp:posOffset>499745</wp:posOffset>
            </wp:positionV>
            <wp:extent cx="2726055" cy="3430905"/>
            <wp:effectExtent l="28575" t="28575" r="0" b="45720"/>
            <wp:wrapTight wrapText="bothSides">
              <wp:wrapPolygon>
                <wp:start x="-226" y="-180"/>
                <wp:lineTo x="-226" y="21648"/>
                <wp:lineTo x="21660" y="21648"/>
                <wp:lineTo x="21660" y="-180"/>
                <wp:lineTo x="-226" y="-180"/>
              </wp:wrapPolygon>
            </wp:wrapTight>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51"/>
                    <a:stretch>
                      <a:fillRect/>
                    </a:stretch>
                  </pic:blipFill>
                  <pic:spPr>
                    <a:xfrm>
                      <a:off x="0" y="0"/>
                      <a:ext cx="2726055" cy="3430905"/>
                    </a:xfrm>
                    <a:prstGeom prst="rect">
                      <a:avLst/>
                    </a:prstGeom>
                    <a:noFill/>
                    <a:ln w="28575" cmpd="thickThin">
                      <a:solidFill>
                        <a:schemeClr val="accent1">
                          <a:shade val="50000"/>
                        </a:schemeClr>
                      </a:solidFill>
                      <a:prstDash val="solid"/>
                    </a:ln>
                  </pic:spPr>
                </pic:pic>
              </a:graphicData>
            </a:graphic>
          </wp:anchor>
        </w:drawing>
      </w:r>
      <w:r>
        <w:rPr>
          <w:rFonts w:hint="eastAsia" w:ascii="仿宋_GB2312" w:hAnsi="仿宋_GB2312" w:eastAsia="仿宋_GB2312" w:cs="仿宋_GB2312"/>
          <w:color w:val="auto"/>
          <w:kern w:val="0"/>
          <w:sz w:val="32"/>
          <w:szCs w:val="32"/>
          <w:lang w:val="en-US" w:eastAsia="zh-CN"/>
        </w:rPr>
        <w:t>工作简报》，按月公开我市各区县大气环境质量考核得分情况、水环境质量考核得分情况、大气环境质量状况情况、水环境质量情况等信息，2018年通过其网站刊发12期；按月公开我市集中式生活饮用水水源水质状况报告，报告内容涵盖城市集中式生活饮用水水源监测点位、监测项目、评价标准及方法、评价结果等内容；全市“河长制”“湖长制”工作情况以及河湖保护情况通过市政府网站“河长制”栏目及市水利与渔业局网站及时公开；全市汛情、旱情、灾情以及预警信息通过职能部门网站公开，2018年我市共发生灾情1次，《灾情信息（20180819温比亚台风）》通过市政府网站“减灾救灾信息”栏目公开，公开内容包括受灾情况以及灾后救助信息。</w:t>
      </w:r>
      <w:r>
        <w:rPr>
          <w:rFonts w:hint="eastAsia" w:ascii="仿宋_GB2312" w:hAnsi="仿宋_GB2312" w:eastAsia="仿宋_GB2312" w:cs="仿宋_GB2312"/>
          <w:b/>
          <w:bCs/>
          <w:color w:val="auto"/>
          <w:kern w:val="0"/>
          <w:sz w:val="32"/>
          <w:szCs w:val="32"/>
          <w:lang w:val="en-US" w:eastAsia="zh-CN"/>
        </w:rPr>
        <w:t>食品</w:t>
      </w:r>
    </w:p>
    <w:p>
      <w:pPr>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br w:type="page"/>
      </w:r>
    </w:p>
    <w:p>
      <w:pPr>
        <w:rPr>
          <w:rFonts w:hint="eastAsia" w:ascii="仿宋" w:hAnsi="仿宋" w:eastAsia="仿宋" w:cs="宋体"/>
          <w:color w:val="auto"/>
          <w:kern w:val="0"/>
          <w:sz w:val="32"/>
          <w:szCs w:val="32"/>
          <w:lang w:val="en-US" w:eastAsia="zh-CN"/>
        </w:rPr>
      </w:pPr>
      <w:r>
        <w:drawing>
          <wp:anchor distT="0" distB="0" distL="114300" distR="114300" simplePos="0" relativeHeight="998403072" behindDoc="1" locked="0" layoutInCell="1" allowOverlap="1">
            <wp:simplePos x="0" y="0"/>
            <wp:positionH relativeFrom="column">
              <wp:posOffset>43815</wp:posOffset>
            </wp:positionH>
            <wp:positionV relativeFrom="paragraph">
              <wp:posOffset>1581150</wp:posOffset>
            </wp:positionV>
            <wp:extent cx="3405505" cy="2366010"/>
            <wp:effectExtent l="28575" t="28575" r="33020" b="43815"/>
            <wp:wrapTight wrapText="bothSides">
              <wp:wrapPolygon>
                <wp:start x="-181" y="-261"/>
                <wp:lineTo x="-181" y="21652"/>
                <wp:lineTo x="21689" y="21652"/>
                <wp:lineTo x="21689" y="-261"/>
                <wp:lineTo x="-181" y="-261"/>
              </wp:wrapPolygon>
            </wp:wrapTight>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52"/>
                    <a:stretch>
                      <a:fillRect/>
                    </a:stretch>
                  </pic:blipFill>
                  <pic:spPr>
                    <a:xfrm>
                      <a:off x="0" y="0"/>
                      <a:ext cx="3405505" cy="2366010"/>
                    </a:xfrm>
                    <a:prstGeom prst="rect">
                      <a:avLst/>
                    </a:prstGeom>
                    <a:noFill/>
                    <a:ln w="28575" cap="flat" cmpd="thickThin">
                      <a:solidFill>
                        <a:srgbClr val="385D8A"/>
                      </a:solidFill>
                      <a:prstDash val="solid"/>
                      <a:round/>
                      <a:headEnd type="none" w="med" len="med"/>
                      <a:tailEnd type="none" w="med" len="med"/>
                    </a:ln>
                  </pic:spPr>
                </pic:pic>
              </a:graphicData>
            </a:graphic>
          </wp:anchor>
        </w:drawing>
      </w:r>
      <w:r>
        <w:rPr>
          <w:rFonts w:hint="eastAsia" w:ascii="仿宋_GB2312" w:hAnsi="仿宋_GB2312" w:eastAsia="仿宋_GB2312" w:cs="仿宋_GB2312"/>
          <w:b/>
          <w:bCs/>
          <w:color w:val="auto"/>
          <w:kern w:val="0"/>
          <w:sz w:val="32"/>
          <w:szCs w:val="32"/>
          <w:lang w:val="en-US" w:eastAsia="zh-CN"/>
        </w:rPr>
        <w:t>药品安全领域：</w:t>
      </w:r>
      <w:r>
        <w:rPr>
          <w:rFonts w:hint="eastAsia" w:ascii="仿宋" w:hAnsi="仿宋" w:eastAsia="仿宋" w:cs="宋体"/>
          <w:color w:val="auto"/>
          <w:kern w:val="0"/>
          <w:sz w:val="32"/>
          <w:szCs w:val="32"/>
          <w:lang w:val="en-US" w:eastAsia="zh-CN"/>
        </w:rPr>
        <w:t>市食品药品监管局在其网站开设“质量信息公告”“处置信息”“不良反应通报”“曝光台”及“黑名单”等栏目，及时公开食药安全相关信息，2018年“质量信息公告”栏目发布《</w:t>
      </w:r>
      <w:r>
        <w:rPr>
          <w:rFonts w:hint="eastAsia" w:ascii="仿宋" w:hAnsi="仿宋" w:eastAsia="仿宋" w:cs="宋体"/>
          <w:color w:val="auto"/>
          <w:kern w:val="0"/>
          <w:sz w:val="32"/>
          <w:szCs w:val="32"/>
          <w:lang w:val="en-US" w:eastAsia="zh-CN"/>
        </w:rPr>
        <w:fldChar w:fldCharType="begin"/>
      </w:r>
      <w:r>
        <w:rPr>
          <w:rFonts w:hint="eastAsia" w:ascii="仿宋" w:hAnsi="仿宋" w:eastAsia="仿宋" w:cs="宋体"/>
          <w:color w:val="auto"/>
          <w:kern w:val="0"/>
          <w:sz w:val="32"/>
          <w:szCs w:val="32"/>
          <w:lang w:val="en-US" w:eastAsia="zh-CN"/>
        </w:rPr>
        <w:instrText xml:space="preserve"> HYPERLINK "http://fda.zibo.gov.cn/art/2018/12/29/art_2151_1586525.html" \o "淄博市食品安全监督抽检信息通告2018年第28期（总第85期）" \t "http://fda.zibo.gov.cn/col/col2149/_blank" </w:instrText>
      </w:r>
      <w:r>
        <w:rPr>
          <w:rFonts w:hint="eastAsia" w:ascii="仿宋" w:hAnsi="仿宋" w:eastAsia="仿宋" w:cs="宋体"/>
          <w:color w:val="auto"/>
          <w:kern w:val="0"/>
          <w:sz w:val="32"/>
          <w:szCs w:val="32"/>
          <w:lang w:val="en-US" w:eastAsia="zh-CN"/>
        </w:rPr>
        <w:fldChar w:fldCharType="separate"/>
      </w:r>
      <w:r>
        <w:rPr>
          <w:rFonts w:hint="eastAsia" w:ascii="仿宋" w:hAnsi="仿宋" w:eastAsia="仿宋" w:cs="宋体"/>
          <w:color w:val="auto"/>
          <w:kern w:val="0"/>
          <w:sz w:val="32"/>
          <w:szCs w:val="32"/>
          <w:lang w:val="en-US" w:eastAsia="zh-CN"/>
        </w:rPr>
        <w:t>淄博市食品安全监督抽检信息通告</w:t>
      </w:r>
      <w:r>
        <w:rPr>
          <w:rFonts w:hint="eastAsia" w:ascii="仿宋" w:hAnsi="仿宋" w:eastAsia="仿宋" w:cs="宋体"/>
          <w:color w:val="auto"/>
          <w:kern w:val="0"/>
          <w:sz w:val="32"/>
          <w:szCs w:val="32"/>
          <w:lang w:val="en-US" w:eastAsia="zh-CN"/>
        </w:rPr>
        <w:fldChar w:fldCharType="end"/>
      </w:r>
      <w:r>
        <w:rPr>
          <w:rFonts w:hint="eastAsia" w:ascii="仿宋" w:hAnsi="仿宋" w:eastAsia="仿宋" w:cs="宋体"/>
          <w:color w:val="auto"/>
          <w:kern w:val="0"/>
          <w:sz w:val="32"/>
          <w:szCs w:val="32"/>
          <w:lang w:val="en-US" w:eastAsia="zh-CN"/>
        </w:rPr>
        <w:t>》28期、抽检信息172条，内容涵盖食药安全抽检总体情况、抽检检验项目、</w:t>
      </w:r>
      <w:r>
        <w:rPr>
          <w:rFonts w:ascii="仿宋_GB2312" w:hAnsi="宋体" w:eastAsia="仿宋_GB2312" w:cs="仿宋_GB2312"/>
          <w:b w:val="0"/>
          <w:i w:val="0"/>
          <w:caps w:val="0"/>
          <w:color w:val="auto"/>
          <w:spacing w:val="0"/>
          <w:sz w:val="31"/>
          <w:szCs w:val="31"/>
          <w:u w:val="none"/>
          <w:shd w:val="clear" w:color="auto" w:fill="FFFFFF"/>
        </w:rPr>
        <w:fldChar w:fldCharType="begin"/>
      </w:r>
      <w:r>
        <w:rPr>
          <w:rFonts w:ascii="仿宋_GB2312" w:hAnsi="宋体" w:eastAsia="仿宋_GB2312" w:cs="仿宋_GB2312"/>
          <w:b w:val="0"/>
          <w:i w:val="0"/>
          <w:caps w:val="0"/>
          <w:color w:val="auto"/>
          <w:spacing w:val="0"/>
          <w:sz w:val="31"/>
          <w:szCs w:val="31"/>
          <w:u w:val="none"/>
          <w:shd w:val="clear" w:color="auto" w:fill="FFFFFF"/>
        </w:rPr>
        <w:instrText xml:space="preserve"> HYPERLINK "http://fda.zibo.gov.cn/module/download/downfile.jsp?classid=0&amp;filename=83efbefff0a846f59df2ad182809b818.xls" </w:instrText>
      </w:r>
      <w:r>
        <w:rPr>
          <w:rFonts w:ascii="仿宋_GB2312" w:hAnsi="宋体" w:eastAsia="仿宋_GB2312" w:cs="仿宋_GB2312"/>
          <w:b w:val="0"/>
          <w:i w:val="0"/>
          <w:caps w:val="0"/>
          <w:color w:val="auto"/>
          <w:spacing w:val="0"/>
          <w:sz w:val="31"/>
          <w:szCs w:val="31"/>
          <w:u w:val="none"/>
          <w:shd w:val="clear" w:color="auto" w:fill="FFFFFF"/>
        </w:rPr>
        <w:fldChar w:fldCharType="separate"/>
      </w:r>
      <w:r>
        <w:rPr>
          <w:rStyle w:val="13"/>
          <w:rFonts w:hint="default" w:ascii="仿宋_GB2312" w:hAnsi="宋体" w:eastAsia="仿宋_GB2312" w:cs="仿宋_GB2312"/>
          <w:b w:val="0"/>
          <w:i w:val="0"/>
          <w:caps w:val="0"/>
          <w:color w:val="auto"/>
          <w:spacing w:val="0"/>
          <w:sz w:val="31"/>
          <w:szCs w:val="31"/>
          <w:u w:val="none"/>
          <w:shd w:val="clear" w:color="auto" w:fill="FFFFFF"/>
        </w:rPr>
        <w:t>抽检</w:t>
      </w:r>
      <w:r>
        <w:rPr>
          <w:rStyle w:val="13"/>
          <w:rFonts w:hint="eastAsia" w:ascii="仿宋_GB2312" w:hAnsi="宋体" w:eastAsia="仿宋_GB2312" w:cs="仿宋_GB2312"/>
          <w:b w:val="0"/>
          <w:i w:val="0"/>
          <w:caps w:val="0"/>
          <w:color w:val="auto"/>
          <w:spacing w:val="0"/>
          <w:sz w:val="31"/>
          <w:szCs w:val="31"/>
          <w:u w:val="none"/>
          <w:shd w:val="clear" w:color="auto" w:fill="FFFFFF"/>
          <w:lang w:eastAsia="zh-CN"/>
        </w:rPr>
        <w:t>合格和</w:t>
      </w:r>
      <w:r>
        <w:rPr>
          <w:rStyle w:val="13"/>
          <w:rFonts w:hint="default" w:ascii="仿宋_GB2312" w:hAnsi="宋体" w:eastAsia="仿宋_GB2312" w:cs="仿宋_GB2312"/>
          <w:b w:val="0"/>
          <w:i w:val="0"/>
          <w:caps w:val="0"/>
          <w:color w:val="auto"/>
          <w:spacing w:val="0"/>
          <w:sz w:val="31"/>
          <w:szCs w:val="31"/>
          <w:u w:val="none"/>
          <w:shd w:val="clear" w:color="auto" w:fill="FFFFFF"/>
        </w:rPr>
        <w:t>不合格产品信息</w:t>
      </w:r>
      <w:r>
        <w:rPr>
          <w:rFonts w:hint="default" w:ascii="仿宋_GB2312" w:hAnsi="宋体" w:eastAsia="仿宋_GB2312" w:cs="仿宋_GB2312"/>
          <w:b w:val="0"/>
          <w:i w:val="0"/>
          <w:caps w:val="0"/>
          <w:color w:val="auto"/>
          <w:spacing w:val="0"/>
          <w:sz w:val="31"/>
          <w:szCs w:val="31"/>
          <w:u w:val="none"/>
          <w:shd w:val="clear" w:color="auto" w:fill="FFFFFF"/>
        </w:rPr>
        <w:fldChar w:fldCharType="end"/>
      </w:r>
      <w:r>
        <w:rPr>
          <w:rFonts w:hint="eastAsia" w:ascii="仿宋_GB2312" w:hAnsi="宋体" w:eastAsia="仿宋_GB2312" w:cs="仿宋_GB2312"/>
          <w:b w:val="0"/>
          <w:i w:val="0"/>
          <w:caps w:val="0"/>
          <w:color w:val="auto"/>
          <w:spacing w:val="0"/>
          <w:sz w:val="31"/>
          <w:szCs w:val="31"/>
          <w:u w:val="none"/>
          <w:shd w:val="clear" w:color="auto" w:fill="FFFFFF"/>
          <w:lang w:eastAsia="zh-CN"/>
        </w:rPr>
        <w:t>（包括抽样编号、标称生产企业名称、被抽样单位名称、标称食品名称、标称规格型号、标称商标、标称生产日期/批号、不合格项目、检验结果、标准值等内容）、</w:t>
      </w:r>
      <w:r>
        <w:rPr>
          <w:rFonts w:ascii="仿宋_GB2312" w:hAnsi="宋体" w:eastAsia="仿宋_GB2312" w:cs="仿宋_GB2312"/>
          <w:b w:val="0"/>
          <w:i w:val="0"/>
          <w:caps w:val="0"/>
          <w:color w:val="auto"/>
          <w:spacing w:val="0"/>
          <w:sz w:val="31"/>
          <w:szCs w:val="31"/>
          <w:u w:val="none"/>
          <w:shd w:val="clear" w:color="auto" w:fill="FFFFFF"/>
        </w:rPr>
        <w:fldChar w:fldCharType="begin"/>
      </w:r>
      <w:r>
        <w:rPr>
          <w:rFonts w:ascii="仿宋_GB2312" w:hAnsi="宋体" w:eastAsia="仿宋_GB2312" w:cs="仿宋_GB2312"/>
          <w:b w:val="0"/>
          <w:i w:val="0"/>
          <w:caps w:val="0"/>
          <w:color w:val="auto"/>
          <w:spacing w:val="0"/>
          <w:sz w:val="31"/>
          <w:szCs w:val="31"/>
          <w:u w:val="none"/>
          <w:shd w:val="clear" w:color="auto" w:fill="FFFFFF"/>
        </w:rPr>
        <w:instrText xml:space="preserve"> HYPERLINK "http://fda.zibo.gov.cn/module/download/downfile.jsp?classid=0&amp;filename=6e64431cc42a4ac49505867a2489a7bf.doc" </w:instrText>
      </w:r>
      <w:r>
        <w:rPr>
          <w:rFonts w:ascii="仿宋_GB2312" w:hAnsi="宋体" w:eastAsia="仿宋_GB2312" w:cs="仿宋_GB2312"/>
          <w:b w:val="0"/>
          <w:i w:val="0"/>
          <w:caps w:val="0"/>
          <w:color w:val="auto"/>
          <w:spacing w:val="0"/>
          <w:sz w:val="31"/>
          <w:szCs w:val="31"/>
          <w:u w:val="none"/>
          <w:shd w:val="clear" w:color="auto" w:fill="FFFFFF"/>
        </w:rPr>
        <w:fldChar w:fldCharType="separate"/>
      </w:r>
      <w:r>
        <w:rPr>
          <w:rStyle w:val="13"/>
          <w:rFonts w:hint="default" w:ascii="仿宋_GB2312" w:hAnsi="宋体" w:eastAsia="仿宋_GB2312" w:cs="仿宋_GB2312"/>
          <w:b w:val="0"/>
          <w:i w:val="0"/>
          <w:caps w:val="0"/>
          <w:color w:val="auto"/>
          <w:spacing w:val="0"/>
          <w:sz w:val="31"/>
          <w:szCs w:val="31"/>
          <w:u w:val="none"/>
          <w:shd w:val="clear" w:color="auto" w:fill="FFFFFF"/>
        </w:rPr>
        <w:t>部分检验项目说明</w:t>
      </w:r>
      <w:r>
        <w:rPr>
          <w:rFonts w:hint="default" w:ascii="仿宋_GB2312" w:hAnsi="宋体" w:eastAsia="仿宋_GB2312" w:cs="仿宋_GB2312"/>
          <w:b w:val="0"/>
          <w:i w:val="0"/>
          <w:caps w:val="0"/>
          <w:color w:val="auto"/>
          <w:spacing w:val="0"/>
          <w:sz w:val="31"/>
          <w:szCs w:val="31"/>
          <w:u w:val="none"/>
          <w:shd w:val="clear" w:color="auto" w:fill="FFFFFF"/>
        </w:rPr>
        <w:fldChar w:fldCharType="end"/>
      </w:r>
      <w:r>
        <w:rPr>
          <w:rFonts w:hint="eastAsia" w:ascii="仿宋_GB2312" w:hAnsi="宋体" w:eastAsia="仿宋_GB2312" w:cs="仿宋_GB2312"/>
          <w:b w:val="0"/>
          <w:i w:val="0"/>
          <w:caps w:val="0"/>
          <w:color w:val="auto"/>
          <w:spacing w:val="0"/>
          <w:sz w:val="31"/>
          <w:szCs w:val="31"/>
          <w:u w:val="none"/>
          <w:shd w:val="clear" w:color="auto" w:fill="FFFFFF"/>
          <w:lang w:eastAsia="zh-CN"/>
        </w:rPr>
        <w:t>等内容，</w:t>
      </w:r>
      <w:r>
        <w:rPr>
          <w:rFonts w:hint="eastAsia" w:ascii="仿宋" w:hAnsi="仿宋" w:eastAsia="仿宋" w:cs="宋体"/>
          <w:color w:val="auto"/>
          <w:kern w:val="0"/>
          <w:sz w:val="32"/>
          <w:szCs w:val="32"/>
          <w:lang w:val="en-US" w:eastAsia="zh-CN"/>
        </w:rPr>
        <w:t>“处置信息”栏目发布不合格产品处置信息7条，内容涵盖监督抽检发现不合格产品处置情况，具体包括被抽查单位信息、核查情况、行政处罚情况等，“不良反应通报”栏目发布不良反应信息4条，“曝光台”栏目发布行政处罚信息42次、“黑名单”栏目发布黑名单公示信息5次；市食品药品监管局网站开设“数据查询信息”栏目，公开全市第一类医疗器械备案凭证信息、第一类医疗器械生产备案凭证信息等，并汇总国家、省食药安全相关备案信息，通过专栏集中公开，方便公众查询。</w:t>
      </w:r>
      <w:r>
        <w:rPr>
          <w:rFonts w:hint="eastAsia" w:ascii="仿宋" w:hAnsi="仿宋" w:eastAsia="仿宋" w:cs="宋体"/>
          <w:b/>
          <w:bCs/>
          <w:color w:val="auto"/>
          <w:kern w:val="0"/>
          <w:sz w:val="32"/>
          <w:szCs w:val="32"/>
          <w:lang w:val="en-US" w:eastAsia="zh-CN"/>
        </w:rPr>
        <w:t>国资国企和安全生产监督领域：</w:t>
      </w:r>
      <w:r>
        <w:rPr>
          <w:rFonts w:hint="eastAsia" w:ascii="仿宋" w:hAnsi="仿宋" w:eastAsia="仿宋" w:cs="宋体"/>
          <w:color w:val="auto"/>
          <w:kern w:val="0"/>
          <w:sz w:val="32"/>
          <w:szCs w:val="32"/>
          <w:lang w:val="en-US" w:eastAsia="zh-CN"/>
        </w:rPr>
        <w:t>通过市财政</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rPr>
          <w:rFonts w:hint="eastAsia" w:ascii="仿宋" w:hAnsi="仿宋" w:eastAsia="仿宋" w:cs="宋体"/>
          <w:color w:val="auto"/>
          <w:kern w:val="0"/>
          <w:sz w:val="32"/>
          <w:szCs w:val="32"/>
          <w:lang w:val="en-US" w:eastAsia="zh-CN"/>
        </w:rPr>
      </w:pPr>
      <w:r>
        <w:drawing>
          <wp:anchor distT="0" distB="0" distL="114300" distR="114300" simplePos="0" relativeHeight="275544064" behindDoc="1" locked="0" layoutInCell="1" allowOverlap="1">
            <wp:simplePos x="0" y="0"/>
            <wp:positionH relativeFrom="column">
              <wp:posOffset>2682875</wp:posOffset>
            </wp:positionH>
            <wp:positionV relativeFrom="paragraph">
              <wp:posOffset>6546215</wp:posOffset>
            </wp:positionV>
            <wp:extent cx="2632075" cy="2225675"/>
            <wp:effectExtent l="28575" t="28575" r="44450" b="69850"/>
            <wp:wrapTight wrapText="bothSides">
              <wp:wrapPolygon>
                <wp:start x="-234" y="-277"/>
                <wp:lineTo x="-234" y="21723"/>
                <wp:lineTo x="21652" y="21723"/>
                <wp:lineTo x="21652" y="-277"/>
                <wp:lineTo x="-234" y="-277"/>
              </wp:wrapPolygon>
            </wp:wrapTight>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53"/>
                    <a:stretch>
                      <a:fillRect/>
                    </a:stretch>
                  </pic:blipFill>
                  <pic:spPr>
                    <a:xfrm>
                      <a:off x="0" y="0"/>
                      <a:ext cx="2632075" cy="2225675"/>
                    </a:xfrm>
                    <a:prstGeom prst="rect">
                      <a:avLst/>
                    </a:prstGeom>
                    <a:noFill/>
                    <a:ln w="28575" cmpd="thickThin">
                      <a:solidFill>
                        <a:schemeClr val="accent1">
                          <a:shade val="50000"/>
                        </a:schemeClr>
                      </a:solidFill>
                      <a:prstDash val="solid"/>
                    </a:ln>
                  </pic:spPr>
                </pic:pic>
              </a:graphicData>
            </a:graphic>
          </wp:anchor>
        </w:drawing>
      </w:r>
      <w:r>
        <w:drawing>
          <wp:anchor distT="0" distB="0" distL="114300" distR="114300" simplePos="0" relativeHeight="1022288896" behindDoc="1" locked="0" layoutInCell="1" allowOverlap="1">
            <wp:simplePos x="0" y="0"/>
            <wp:positionH relativeFrom="column">
              <wp:posOffset>43815</wp:posOffset>
            </wp:positionH>
            <wp:positionV relativeFrom="paragraph">
              <wp:posOffset>509270</wp:posOffset>
            </wp:positionV>
            <wp:extent cx="3950970" cy="2810510"/>
            <wp:effectExtent l="28575" t="28575" r="78105" b="75565"/>
            <wp:wrapTight wrapText="bothSides">
              <wp:wrapPolygon>
                <wp:start x="-156" y="-220"/>
                <wp:lineTo x="-156" y="21742"/>
                <wp:lineTo x="21610" y="21742"/>
                <wp:lineTo x="21610" y="-220"/>
                <wp:lineTo x="-156" y="-220"/>
              </wp:wrapPolygon>
            </wp:wrapTight>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54"/>
                    <a:stretch>
                      <a:fillRect/>
                    </a:stretch>
                  </pic:blipFill>
                  <pic:spPr>
                    <a:xfrm>
                      <a:off x="0" y="0"/>
                      <a:ext cx="3950970" cy="2810510"/>
                    </a:xfrm>
                    <a:prstGeom prst="rect">
                      <a:avLst/>
                    </a:prstGeom>
                    <a:noFill/>
                    <a:ln w="28575" cmpd="thickThin">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lang w:val="en-US" w:eastAsia="zh-CN"/>
        </w:rPr>
        <w:t>局网站“国资国企改革管理”栏目集中公开市管国有企业经营情况、国有资产保值增值情况、负责人重大变动、年度薪酬等情况，企业营业收入、营业成本、资产减值损失、利润总额、资产总额、负债总额等信息按月公开。通过市安监局网站及时公开事故信息和安全警示信息，2018年共发布事故信息和安全警示提示信息14条、检查执法信息59条；健全完善安全生产不良记录“黑名单”制度，公开发布《淄博市人民政府办公厅关于印发&lt;淄博市生产经营单位安全生产不良记录“黑名单”管理暂行规定&gt;的通知》和政策解读，定期向社会公布安全生产“黑名单”信息。</w:t>
      </w:r>
    </w:p>
    <w:p>
      <w:pPr>
        <w:widowControl/>
        <w:spacing w:before="100" w:after="100"/>
        <w:ind w:firstLine="645"/>
        <w:jc w:val="both"/>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三、依申请公开政府信息情况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在信函申请、当面申请、传真申请等信息公开申请渠道基础上，2018年我市在市政府门户网站统一为市级部</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门单位开通了政府信息公开申请在线受理平台，办理过程中严格执行“工作机构受理，业务部门承办，重大问题会商，法制部门合法性审查”的依申请公开工作程序，依法及时答复公众申请，切实满足公民、法人和其他组织的个性化政府信息需求。</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（一）收到申请情况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2018年，全市各级各部门共收到政府信息公开申请1025件，较上年下降27.6%。其中：市政府及市政府部门345件，较上年下降29.3%，区县及以下680件，较上年下降26.7%。</w:t>
      </w:r>
    </w:p>
    <w:p>
      <w:pPr>
        <w:widowControl/>
        <w:spacing w:before="100" w:after="100"/>
        <w:ind w:firstLine="645"/>
        <w:jc w:val="cente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drawing>
          <wp:inline distT="0" distB="0" distL="114300" distR="114300">
            <wp:extent cx="4413885" cy="3836670"/>
            <wp:effectExtent l="13970" t="0" r="29845" b="1651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widowControl/>
        <w:spacing w:before="100" w:after="100"/>
        <w:ind w:firstLine="645"/>
        <w:jc w:val="both"/>
        <w:rPr>
          <w:rFonts w:hint="eastAsia" w:ascii="仿宋" w:hAnsi="仿宋" w:eastAsia="仿宋" w:cs="宋体"/>
          <w:color w:val="auto"/>
          <w:kern w:val="0"/>
          <w:sz w:val="32"/>
          <w:szCs w:val="32"/>
          <w:highlight w:val="none"/>
          <w:lang w:val="en-US" w:eastAsia="zh-CN"/>
        </w:rPr>
      </w:pPr>
      <w:r>
        <w:rPr>
          <w:rFonts w:hint="eastAsia" w:ascii="仿宋" w:hAnsi="仿宋" w:eastAsia="仿宋" w:cs="宋体"/>
          <w:color w:val="auto"/>
          <w:kern w:val="0"/>
          <w:sz w:val="32"/>
          <w:szCs w:val="32"/>
          <w:highlight w:val="none"/>
          <w:lang w:val="en-US" w:eastAsia="zh-CN"/>
        </w:rPr>
        <w:t>市政府工作部门中，申请受理量列前5位的是国土资源局、住建局（含房管局）、规划局、发改委、环境保护局；</w:t>
      </w:r>
    </w:p>
    <w:p>
      <w:pPr>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br w:type="page"/>
      </w:r>
    </w:p>
    <w:p>
      <w:pPr>
        <w:widowControl/>
        <w:spacing w:before="100" w:after="100"/>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区县政府中，申请受理量列前3位的是临淄区、张店区、桓台县；申请内容主要集中在土地征收、补偿安置、城乡规划、项目审批、工程建设等领域。</w:t>
      </w:r>
    </w:p>
    <w:p>
      <w:pPr>
        <w:widowControl/>
        <w:spacing w:before="100" w:after="100"/>
        <w:ind w:firstLine="645"/>
        <w:jc w:val="both"/>
        <w:rPr>
          <w:rFonts w:hint="default"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行政机关受理的信息公开申请数量出现多年来的首次下降，经全面分析，谨慎认为是主动公开和依申请公开“跷跷板”作用所致，即：多年来各级行政机关较好坚持“公开为常态、不公开为例外”原则，主动公开范围逐步扩大，公众越来越多地不需要通过申请而通过行政机关主动公开的政府信息即可满足需要。</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（二）申请处理情况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eastAsiaTheme="minorEastAsia"/>
          <w:lang w:eastAsia="zh-CN"/>
        </w:rPr>
        <w:drawing>
          <wp:anchor distT="0" distB="0" distL="114300" distR="114300" simplePos="0" relativeHeight="1022289920" behindDoc="1" locked="0" layoutInCell="1" allowOverlap="1">
            <wp:simplePos x="0" y="0"/>
            <wp:positionH relativeFrom="column">
              <wp:posOffset>-10795</wp:posOffset>
            </wp:positionH>
            <wp:positionV relativeFrom="paragraph">
              <wp:posOffset>982980</wp:posOffset>
            </wp:positionV>
            <wp:extent cx="3190875" cy="3190875"/>
            <wp:effectExtent l="28575" t="28575" r="38100" b="38100"/>
            <wp:wrapTight wrapText="bothSides">
              <wp:wrapPolygon>
                <wp:start x="-193" y="-193"/>
                <wp:lineTo x="-193" y="21729"/>
                <wp:lineTo x="21729" y="21729"/>
                <wp:lineTo x="21729" y="-193"/>
                <wp:lineTo x="-193" y="-193"/>
              </wp:wrapPolygon>
            </wp:wrapTight>
            <wp:docPr id="64" name="图片 64"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2222"/>
                    <pic:cNvPicPr>
                      <a:picLocks noChangeAspect="1"/>
                    </pic:cNvPicPr>
                  </pic:nvPicPr>
                  <pic:blipFill>
                    <a:blip r:embed="rId56"/>
                    <a:stretch>
                      <a:fillRect/>
                    </a:stretch>
                  </pic:blipFill>
                  <pic:spPr>
                    <a:xfrm>
                      <a:off x="0" y="0"/>
                      <a:ext cx="3190875" cy="3190875"/>
                    </a:xfrm>
                    <a:prstGeom prst="rect">
                      <a:avLst/>
                    </a:prstGeom>
                    <a:ln w="28575" cmpd="dbl">
                      <a:solidFill>
                        <a:schemeClr val="accent1">
                          <a:shade val="50000"/>
                        </a:schemeClr>
                      </a:solidFill>
                      <a:prstDash val="solid"/>
                    </a:ln>
                  </pic:spPr>
                </pic:pic>
              </a:graphicData>
            </a:graphic>
          </wp:anchor>
        </w:drawing>
      </w:r>
      <w:r>
        <w:rPr>
          <w:rFonts w:hint="eastAsia" w:ascii="仿宋" w:hAnsi="仿宋" w:eastAsia="仿宋" w:cs="宋体"/>
          <w:color w:val="auto"/>
          <w:kern w:val="0"/>
          <w:sz w:val="32"/>
          <w:szCs w:val="32"/>
          <w:lang w:val="en-US" w:eastAsia="zh-CN"/>
        </w:rPr>
        <w:t>2018年共办结信息公开申请1025件，按时答复966件，延期答复59件。其中，属已主动公开范围306件，同意公开444件，同意部分公开43件，不属于本行政机关公开70件，信息不存在74件，告知做出补充更正11件，告知其他途径办理5件，不予公开72件（主要是不属《条例》所指政府信息、涉及国家秘密、商业秘密、个人隐私）。</w:t>
      </w:r>
    </w:p>
    <w:p>
      <w:pPr>
        <w:widowControl/>
        <w:numPr>
          <w:ilvl w:val="0"/>
          <w:numId w:val="1"/>
        </w:numPr>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依申请公开收费情况</w:t>
      </w:r>
    </w:p>
    <w:p>
      <w:pPr>
        <w:widowControl/>
        <w:numPr>
          <w:ilvl w:val="0"/>
          <w:numId w:val="0"/>
        </w:numPr>
        <w:spacing w:before="100" w:after="100"/>
        <w:ind w:firstLine="0"/>
        <w:jc w:val="both"/>
        <w:rPr>
          <w:rFonts w:hint="default"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 xml:space="preserve">    2018年，全市各级行政机关在依申请公开政府信息过程中未收取任何费用。</w:t>
      </w:r>
    </w:p>
    <w:p>
      <w:pPr>
        <w:widowControl/>
        <w:spacing w:before="100" w:after="100"/>
        <w:ind w:firstLine="645"/>
        <w:jc w:val="both"/>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四、政府信息公开行政案件和举报投诉情况</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（一）行政复议情况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drawing>
          <wp:anchor distT="0" distB="0" distL="114300" distR="114300" simplePos="0" relativeHeight="275545088" behindDoc="1" locked="0" layoutInCell="1" allowOverlap="1">
            <wp:simplePos x="0" y="0"/>
            <wp:positionH relativeFrom="column">
              <wp:posOffset>46355</wp:posOffset>
            </wp:positionH>
            <wp:positionV relativeFrom="paragraph">
              <wp:posOffset>1087120</wp:posOffset>
            </wp:positionV>
            <wp:extent cx="4338320" cy="3436620"/>
            <wp:effectExtent l="13970" t="0" r="29210" b="16510"/>
            <wp:wrapTight wrapText="bothSides">
              <wp:wrapPolygon>
                <wp:start x="-70" y="-88"/>
                <wp:lineTo x="-70" y="21584"/>
                <wp:lineTo x="21556" y="21584"/>
                <wp:lineTo x="21556" y="-88"/>
                <wp:lineTo x="-70" y="-88"/>
              </wp:wrapPolygon>
            </wp:wrapTight>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rFonts w:hint="eastAsia" w:ascii="仿宋" w:hAnsi="仿宋" w:eastAsia="仿宋" w:cs="宋体"/>
          <w:color w:val="auto"/>
          <w:kern w:val="0"/>
          <w:sz w:val="32"/>
          <w:szCs w:val="32"/>
          <w:lang w:val="en-US" w:eastAsia="zh-CN"/>
        </w:rPr>
        <w:t>2018年，全市各级行政机关因政府信息公开引起的行政复议65件。经复议机关依法审理，其中40件被维持具体行政行为，占比61.5%；10件被依法纠错，占比15.4%；其他情形15件（</w:t>
      </w:r>
      <w:r>
        <w:rPr>
          <w:rFonts w:hint="eastAsia" w:ascii="仿宋" w:hAnsi="仿宋" w:eastAsia="仿宋" w:cs="宋体"/>
          <w:color w:val="auto"/>
          <w:kern w:val="0"/>
          <w:sz w:val="32"/>
          <w:szCs w:val="32"/>
          <w:highlight w:val="none"/>
          <w:lang w:val="en-US" w:eastAsia="zh-CN"/>
        </w:rPr>
        <w:t>含撤回复议申请终止审理等</w:t>
      </w:r>
      <w:r>
        <w:rPr>
          <w:rFonts w:hint="eastAsia" w:ascii="仿宋" w:hAnsi="仿宋" w:eastAsia="仿宋" w:cs="宋体"/>
          <w:color w:val="auto"/>
          <w:kern w:val="0"/>
          <w:sz w:val="32"/>
          <w:szCs w:val="32"/>
          <w:lang w:val="en-US" w:eastAsia="zh-CN"/>
        </w:rPr>
        <w:t>），占比23.1%。</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（二）行政诉讼情况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2018年，全市各级行政机关因政府信息公开引起的行政诉讼54件。经人民法院审理，其中22件被维持具体行政行为或者驳回原告诉讼请求，占比40.7%；7件被依法纠错，占比13%；其他情形25（含撤诉等），占比46.3%。</w:t>
      </w:r>
      <w:r>
        <w:rPr>
          <w:rFonts w:hint="eastAsia" w:ascii="仿宋" w:hAnsi="仿宋" w:eastAsia="仿宋" w:cs="宋体"/>
          <w:color w:val="auto"/>
          <w:kern w:val="0"/>
          <w:sz w:val="32"/>
          <w:szCs w:val="32"/>
          <w:lang w:val="en-US" w:eastAsia="zh-CN"/>
        </w:rPr>
        <w:drawing>
          <wp:anchor distT="0" distB="0" distL="114300" distR="114300" simplePos="0" relativeHeight="2563556352" behindDoc="1" locked="0" layoutInCell="1" allowOverlap="1">
            <wp:simplePos x="0" y="0"/>
            <wp:positionH relativeFrom="column">
              <wp:posOffset>100965</wp:posOffset>
            </wp:positionH>
            <wp:positionV relativeFrom="paragraph">
              <wp:posOffset>77470</wp:posOffset>
            </wp:positionV>
            <wp:extent cx="5070475" cy="2839720"/>
            <wp:effectExtent l="13970" t="13970" r="20955" b="22860"/>
            <wp:wrapTight wrapText="bothSides">
              <wp:wrapPolygon>
                <wp:start x="-60" y="-106"/>
                <wp:lineTo x="-60" y="21629"/>
                <wp:lineTo x="21608" y="21629"/>
                <wp:lineTo x="21608" y="-106"/>
                <wp:lineTo x="-60" y="-106"/>
              </wp:wrapPolygon>
            </wp:wrapTight>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（三）举报投诉情况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2018年，全市各级行政机关共收到涉及信息公开工作的举报投诉2起，维持具体行政行为的 2起。</w:t>
      </w:r>
    </w:p>
    <w:p>
      <w:pPr>
        <w:widowControl/>
        <w:spacing w:before="100" w:after="100"/>
        <w:ind w:firstLine="645"/>
        <w:jc w:val="both"/>
        <w:rPr>
          <w:rFonts w:hint="eastAsia" w:ascii="黑体" w:hAnsi="黑体" w:eastAsia="黑体" w:cs="黑体"/>
          <w:b/>
          <w:bCs/>
          <w:color w:val="auto"/>
          <w:kern w:val="0"/>
          <w:sz w:val="32"/>
          <w:szCs w:val="32"/>
          <w:lang w:val="en-US" w:eastAsia="zh-CN"/>
        </w:rPr>
      </w:pPr>
      <w:r>
        <w:rPr>
          <w:rFonts w:hint="eastAsia" w:ascii="黑体" w:hAnsi="黑体" w:eastAsia="黑体" w:cs="黑体"/>
          <w:b/>
          <w:bCs/>
          <w:color w:val="auto"/>
          <w:kern w:val="0"/>
          <w:sz w:val="32"/>
          <w:szCs w:val="32"/>
          <w:lang w:val="en-US" w:eastAsia="zh-CN"/>
        </w:rPr>
        <w:t>五、政府信息公开工作机构、人员情况</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(一)机构情况</w:t>
      </w:r>
    </w:p>
    <w:p>
      <w:pPr>
        <w:widowControl/>
        <w:spacing w:before="100" w:after="100"/>
        <w:ind w:firstLine="645"/>
        <w:jc w:val="both"/>
        <w:rPr>
          <w:rFonts w:hint="eastAsia" w:ascii="仿宋" w:hAnsi="仿宋" w:eastAsia="仿宋" w:cs="宋体"/>
          <w:color w:val="auto"/>
          <w:kern w:val="0"/>
          <w:sz w:val="32"/>
          <w:szCs w:val="32"/>
          <w:lang w:val="en-US" w:eastAsia="zh-CN"/>
        </w:rPr>
      </w:pPr>
      <w:r>
        <w:rPr>
          <w:rFonts w:hint="eastAsia" w:ascii="仿宋" w:hAnsi="仿宋" w:eastAsia="仿宋" w:cs="宋体"/>
          <w:color w:val="auto"/>
          <w:kern w:val="0"/>
          <w:sz w:val="32"/>
          <w:szCs w:val="32"/>
          <w:lang w:val="en-US" w:eastAsia="zh-CN"/>
        </w:rPr>
        <w:t>截至2018年底，全市政府信息公开工作机构数量为481个，其中，市级部门及有关单位政府信息公开工作机构61个，区县及所属部门、镇办政府信息公开工作机构420个。</w:t>
      </w:r>
    </w:p>
    <w:p>
      <w:pPr>
        <w:widowControl/>
        <w:spacing w:before="100" w:after="100"/>
        <w:ind w:firstLine="645"/>
        <w:jc w:val="both"/>
        <w:rPr>
          <w:rFonts w:hint="eastAsia" w:ascii="仿宋" w:hAnsi="仿宋" w:eastAsia="仿宋" w:cs="宋体"/>
          <w:b/>
          <w:bCs/>
          <w:color w:val="auto"/>
          <w:kern w:val="0"/>
          <w:sz w:val="32"/>
          <w:szCs w:val="32"/>
          <w:lang w:val="en-US" w:eastAsia="zh-CN"/>
        </w:rPr>
      </w:pPr>
      <w:r>
        <w:rPr>
          <w:rFonts w:hint="eastAsia" w:ascii="仿宋" w:hAnsi="仿宋" w:eastAsia="仿宋" w:cs="宋体"/>
          <w:b/>
          <w:bCs/>
          <w:color w:val="auto"/>
          <w:kern w:val="0"/>
          <w:sz w:val="32"/>
          <w:szCs w:val="32"/>
          <w:lang w:val="en-US" w:eastAsia="zh-CN"/>
        </w:rPr>
        <w:t>（二）人员情况</w:t>
      </w:r>
    </w:p>
    <w:p>
      <w:pPr>
        <w:widowControl/>
        <w:spacing w:before="100" w:after="100"/>
        <w:ind w:firstLine="645"/>
        <w:jc w:val="both"/>
        <w:rPr>
          <w:rFonts w:hint="eastAsia" w:ascii="仿宋" w:hAnsi="仿宋" w:eastAsia="仿宋" w:cs="仿宋"/>
          <w:b w:val="0"/>
          <w:bCs/>
          <w:i w:val="0"/>
          <w:caps w:val="0"/>
          <w:color w:val="auto"/>
          <w:spacing w:val="0"/>
          <w:sz w:val="32"/>
          <w:szCs w:val="32"/>
          <w:lang w:eastAsia="zh-CN"/>
        </w:rPr>
      </w:pPr>
      <w:r>
        <w:rPr>
          <w:rFonts w:hint="eastAsia" w:ascii="仿宋" w:hAnsi="仿宋" w:eastAsia="仿宋" w:cs="宋体"/>
          <w:color w:val="auto"/>
          <w:kern w:val="0"/>
          <w:sz w:val="32"/>
          <w:szCs w:val="32"/>
          <w:lang w:val="en-US" w:eastAsia="zh-CN"/>
        </w:rPr>
        <w:t>截至2018年底，全市政府信息公开工作人员数量为778人，其中，专职工作人员230人，兼职工作人员548人。</w:t>
      </w: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outlineLvl w:val="0"/>
        <w:rPr>
          <w:rFonts w:hint="eastAsia" w:ascii="黑体" w:hAnsi="黑体" w:eastAsia="黑体" w:cs="黑体"/>
          <w:b/>
          <w:bCs w:val="0"/>
          <w:i w:val="0"/>
          <w:caps w:val="0"/>
          <w:color w:val="auto"/>
          <w:spacing w:val="0"/>
          <w:sz w:val="32"/>
          <w:szCs w:val="32"/>
          <w:lang w:eastAsia="zh-CN"/>
        </w:rPr>
      </w:pPr>
      <w:r>
        <w:rPr>
          <w:rFonts w:hint="eastAsia" w:ascii="黑体" w:hAnsi="黑体" w:eastAsia="黑体" w:cs="黑体"/>
          <w:b/>
          <w:bCs w:val="0"/>
          <w:i w:val="0"/>
          <w:caps w:val="0"/>
          <w:color w:val="auto"/>
          <w:spacing w:val="0"/>
          <w:sz w:val="32"/>
          <w:szCs w:val="32"/>
          <w:lang w:eastAsia="zh-CN"/>
        </w:rPr>
        <w:t>六、存在的不足和改进措施</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2018年3月，中国社会科学院法学研究所发布的《中国政府透明度指数报告》显示，淄博市政府透明度在全国49个较大的市中排名第9。我市政府信息公开工作虽然取得了长足进步，但与国家、省日益提高的公开要求和人民群众日益增长的信息需求相比，还有很大差距，主要表现在：公开意识还不够强，有些地方和部门没有将公开工作与业务工作同步进行部署和安排；公开范围还不够广，有些领域的公开广度和深度还有很大提升空间；目录编排还不够细，有些单位虽然对信息进行了公开，但展示目录不够清晰，不便公众查找；队伍建设还比较弱，大部分基层单位都没有专职公开人员，兼职人员流动性也比较大，业务衔接容易出现空档。上述问题需要今后重点加以改进。</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下一步，我市将认真贯彻落实《中华人民共和国政府信息公开条例》《山东省政府信息公开办法》及国家、省各项公开工作部署，坚持“公开为常态，不公开为例外”原则，进一步提高公开意识，扩大公开范围，突出公开重点，拓展公开渠道，丰富公开形式，强化监督考核，不断提高依法行政水平，努力满足人民群众的知情权。</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进一步提高公开意识和公开能力。</w:t>
      </w:r>
      <w:r>
        <w:rPr>
          <w:rFonts w:hint="eastAsia" w:ascii="仿宋" w:hAnsi="仿宋" w:eastAsia="仿宋" w:cs="仿宋"/>
          <w:b w:val="0"/>
          <w:bCs/>
          <w:i w:val="0"/>
          <w:caps w:val="0"/>
          <w:color w:val="auto"/>
          <w:spacing w:val="0"/>
          <w:sz w:val="32"/>
          <w:szCs w:val="32"/>
          <w:lang w:val="en-US" w:eastAsia="zh-CN"/>
        </w:rPr>
        <w:t>推动将政务公开纳入各级领导干部和公务员培训内容，切实提高行政机关公开意识，为公开工作营造浓厚氛围；加强业务培训和业务研讨，切实提升各级工作人员公开业务能力。</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进一步扩大公开范围。</w:t>
      </w:r>
      <w:r>
        <w:rPr>
          <w:rFonts w:hint="eastAsia" w:ascii="仿宋" w:hAnsi="仿宋" w:eastAsia="仿宋" w:cs="仿宋"/>
          <w:b w:val="0"/>
          <w:bCs/>
          <w:i w:val="0"/>
          <w:caps w:val="0"/>
          <w:color w:val="auto"/>
          <w:spacing w:val="0"/>
          <w:sz w:val="32"/>
          <w:szCs w:val="32"/>
          <w:lang w:val="en-US" w:eastAsia="zh-CN"/>
        </w:rPr>
        <w:t>对照《条例》《办法》《中办国办关于全面推进政务公开工作的意见》以及国家、省年度公开要点，逐领域扩大公开范围，挖掘公开深度，释放政府信息，充分发挥出政府信息指导群众生产生活和助力参政议政的巨大作用。</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进一步优化政府信息公开目录。</w:t>
      </w:r>
      <w:r>
        <w:rPr>
          <w:rFonts w:hint="eastAsia" w:ascii="仿宋" w:hAnsi="仿宋" w:eastAsia="仿宋" w:cs="仿宋"/>
          <w:b w:val="0"/>
          <w:bCs/>
          <w:i w:val="0"/>
          <w:caps w:val="0"/>
          <w:color w:val="auto"/>
          <w:spacing w:val="0"/>
          <w:sz w:val="32"/>
          <w:szCs w:val="32"/>
          <w:lang w:val="en-US" w:eastAsia="zh-CN"/>
        </w:rPr>
        <w:t>积极推广国家、省基层政务公开标准化规范化试点成果，完善公开目录，优化展示效果，方便公众查询。</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楷体" w:hAnsi="楷体" w:eastAsia="楷体" w:cs="楷体"/>
          <w:b w:val="0"/>
          <w:bCs/>
          <w:i w:val="0"/>
          <w:caps w:val="0"/>
          <w:color w:val="auto"/>
          <w:spacing w:val="0"/>
          <w:sz w:val="32"/>
          <w:szCs w:val="32"/>
          <w:lang w:val="en-US" w:eastAsia="zh-CN"/>
        </w:rPr>
        <w:t>积极回应群众关切。</w:t>
      </w:r>
      <w:r>
        <w:rPr>
          <w:rFonts w:hint="eastAsia" w:ascii="仿宋" w:hAnsi="仿宋" w:eastAsia="仿宋" w:cs="仿宋"/>
          <w:b w:val="0"/>
          <w:bCs/>
          <w:i w:val="0"/>
          <w:caps w:val="0"/>
          <w:color w:val="auto"/>
          <w:spacing w:val="0"/>
          <w:sz w:val="32"/>
          <w:szCs w:val="32"/>
          <w:lang w:val="en-US" w:eastAsia="zh-CN"/>
        </w:rPr>
        <w:t>推广政府信息申请答复规范化文本，依法满足公众的个性化信息需求；积极应对复议诉讼，最大限度化解行政纠纷；积极研判回应政务舆情，切实维护政府公信力。</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outlineLvl w:val="0"/>
        <w:rPr>
          <w:rFonts w:hint="eastAsia" w:ascii="仿宋" w:hAnsi="仿宋" w:eastAsia="仿宋" w:cs="仿宋"/>
          <w:b w:val="0"/>
          <w:bCs/>
          <w:i w:val="0"/>
          <w:caps w:val="0"/>
          <w:color w:val="auto"/>
          <w:spacing w:val="0"/>
          <w:sz w:val="32"/>
          <w:szCs w:val="32"/>
          <w:lang w:eastAsia="zh-CN"/>
        </w:rPr>
      </w:pPr>
      <w:r>
        <w:rPr>
          <w:rFonts w:hint="eastAsia" w:ascii="楷体" w:hAnsi="楷体" w:eastAsia="楷体" w:cs="楷体"/>
          <w:b w:val="0"/>
          <w:bCs/>
          <w:i w:val="0"/>
          <w:caps w:val="0"/>
          <w:color w:val="auto"/>
          <w:spacing w:val="0"/>
          <w:sz w:val="32"/>
          <w:szCs w:val="32"/>
          <w:lang w:val="en-US" w:eastAsia="zh-CN"/>
        </w:rPr>
        <w:t>大力加强监督检查。</w:t>
      </w:r>
      <w:r>
        <w:rPr>
          <w:rFonts w:hint="eastAsia" w:ascii="仿宋" w:hAnsi="仿宋" w:eastAsia="仿宋" w:cs="仿宋"/>
          <w:b w:val="0"/>
          <w:bCs/>
          <w:i w:val="0"/>
          <w:caps w:val="0"/>
          <w:color w:val="auto"/>
          <w:spacing w:val="0"/>
          <w:sz w:val="32"/>
          <w:szCs w:val="32"/>
          <w:lang w:val="en-US" w:eastAsia="zh-CN"/>
        </w:rPr>
        <w:t>增加第三方评估频次，注重从公众视角发现公开工作不足，及时反馈予以整改提升；科学制定考核指标，加大考核分值比重，引导各级自觉做好公开工作。</w:t>
      </w:r>
    </w:p>
    <w:p>
      <w:pPr>
        <w:keepNext w:val="0"/>
        <w:keepLines w:val="0"/>
        <w:pageBreakBefore w:val="0"/>
        <w:widowControl w:val="0"/>
        <w:numPr>
          <w:ilvl w:val="0"/>
          <w:numId w:val="3"/>
        </w:numPr>
        <w:kinsoku/>
        <w:wordWrap/>
        <w:overflowPunct/>
        <w:topLinePunct w:val="0"/>
        <w:autoSpaceDE/>
        <w:autoSpaceDN/>
        <w:bidi w:val="0"/>
        <w:adjustRightInd/>
        <w:snapToGrid/>
        <w:ind w:firstLine="640" w:firstLineChars="200"/>
        <w:jc w:val="left"/>
        <w:textAlignment w:val="auto"/>
        <w:outlineLvl w:val="0"/>
        <w:rPr>
          <w:rFonts w:hint="eastAsia" w:ascii="黑体" w:hAnsi="黑体" w:eastAsia="黑体" w:cs="黑体"/>
          <w:b w:val="0"/>
          <w:bCs/>
          <w:i w:val="0"/>
          <w:caps w:val="0"/>
          <w:color w:val="auto"/>
          <w:spacing w:val="0"/>
          <w:sz w:val="32"/>
          <w:szCs w:val="32"/>
          <w:lang w:eastAsia="zh-CN"/>
        </w:rPr>
      </w:pPr>
      <w:r>
        <w:rPr>
          <w:rFonts w:hint="eastAsia" w:ascii="黑体" w:hAnsi="黑体" w:eastAsia="黑体" w:cs="黑体"/>
          <w:b w:val="0"/>
          <w:bCs/>
          <w:i w:val="0"/>
          <w:caps w:val="0"/>
          <w:color w:val="auto"/>
          <w:spacing w:val="0"/>
          <w:sz w:val="32"/>
          <w:szCs w:val="32"/>
          <w:lang w:eastAsia="zh-CN"/>
        </w:rPr>
        <w:t>需要说明的事项及附表</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本报告统计数据含辖区5区3县人民政府，高新区、经济开发区、文昌湖区管委会3个市政府派出机构，市政府部门单位按机构改革前的59个进行统计，统计数据不含驻淄中央、省属垂直单位。</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本报告对市政府部门单位按机构改革前的名称进行表述。</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default"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本报告所列数据可能因四舍五入原因与数据直接相加之和存在尾数差异。</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640" w:firstLineChars="200"/>
        <w:jc w:val="left"/>
        <w:textAlignment w:val="auto"/>
        <w:outlineLvl w:val="0"/>
        <w:rPr>
          <w:rFonts w:hint="default"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2018年度淄博市政府信息公开工作情况统计表附后。</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i w:val="0"/>
          <w:caps w:val="0"/>
          <w:color w:val="auto"/>
          <w:spacing w:val="0"/>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 xml:space="preserve">                     淄博市人民政府办公室</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仿宋" w:hAnsi="仿宋" w:eastAsia="仿宋" w:cs="仿宋"/>
          <w:b w:val="0"/>
          <w:bCs/>
          <w:i w:val="0"/>
          <w:caps w:val="0"/>
          <w:color w:val="auto"/>
          <w:spacing w:val="0"/>
          <w:sz w:val="32"/>
          <w:szCs w:val="32"/>
          <w:lang w:val="en-US" w:eastAsia="zh-CN"/>
        </w:rPr>
      </w:pPr>
      <w:r>
        <w:rPr>
          <w:rFonts w:hint="eastAsia" w:ascii="仿宋" w:hAnsi="仿宋" w:eastAsia="仿宋" w:cs="仿宋"/>
          <w:b w:val="0"/>
          <w:bCs/>
          <w:i w:val="0"/>
          <w:caps w:val="0"/>
          <w:color w:val="auto"/>
          <w:spacing w:val="0"/>
          <w:sz w:val="32"/>
          <w:szCs w:val="32"/>
          <w:lang w:val="en-US" w:eastAsia="zh-CN"/>
        </w:rPr>
        <w:t xml:space="preserve">                          2019年3月</w:t>
      </w:r>
    </w:p>
    <w:p>
      <w:pPr>
        <w:jc w:val="left"/>
        <w:rPr>
          <w:rFonts w:hint="eastAsia" w:ascii="黑体" w:hAnsi="黑体" w:eastAsia="黑体" w:cs="宋体"/>
          <w:bCs/>
          <w:color w:val="auto"/>
          <w:sz w:val="32"/>
          <w:szCs w:val="21"/>
        </w:rPr>
      </w:pPr>
      <w:r>
        <w:rPr>
          <w:rFonts w:hint="eastAsia" w:ascii="仿宋" w:hAnsi="仿宋" w:eastAsia="仿宋" w:cs="仿宋"/>
          <w:b w:val="0"/>
          <w:bCs/>
          <w:i w:val="0"/>
          <w:caps w:val="0"/>
          <w:color w:val="auto"/>
          <w:spacing w:val="0"/>
          <w:sz w:val="32"/>
          <w:szCs w:val="32"/>
          <w:lang w:eastAsia="zh-CN"/>
        </w:rPr>
        <w:br w:type="page"/>
      </w:r>
    </w:p>
    <w:p>
      <w:pPr>
        <w:jc w:val="center"/>
        <w:rPr>
          <w:rFonts w:hint="eastAsia" w:ascii="文星标宋" w:hAnsi="文星标宋" w:eastAsia="文星标宋"/>
          <w:bCs/>
          <w:color w:val="auto"/>
          <w:sz w:val="36"/>
        </w:rPr>
      </w:pPr>
    </w:p>
    <w:p>
      <w:pPr>
        <w:jc w:val="center"/>
        <w:rPr>
          <w:rFonts w:hint="eastAsia" w:ascii="文星标宋" w:hAnsi="文星标宋" w:eastAsia="文星标宋"/>
          <w:bCs/>
          <w:color w:val="auto"/>
          <w:sz w:val="36"/>
        </w:rPr>
      </w:pPr>
      <w:r>
        <w:rPr>
          <w:rFonts w:hint="eastAsia" w:ascii="文星标宋" w:hAnsi="文星标宋" w:eastAsia="文星标宋"/>
          <w:bCs/>
          <w:color w:val="auto"/>
          <w:sz w:val="36"/>
        </w:rPr>
        <w:t>2018年度政府信息公开工作情况统计表</w:t>
      </w:r>
    </w:p>
    <w:tbl>
      <w:tblPr>
        <w:tblStyle w:val="9"/>
        <w:tblpPr w:leftFromText="180" w:rightFromText="180" w:vertAnchor="text" w:horzAnchor="page" w:tblpX="1786" w:tblpY="597"/>
        <w:tblOverlap w:val="never"/>
        <w:tblW w:w="8276" w:type="dxa"/>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
      <w:tblGrid>
        <w:gridCol w:w="6389"/>
        <w:gridCol w:w="938"/>
        <w:gridCol w:w="949"/>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exact"/>
          <w:tblHeader/>
        </w:trPr>
        <w:tc>
          <w:tcPr>
            <w:tcW w:w="6389"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b/>
                <w:color w:val="auto"/>
                <w:sz w:val="20"/>
                <w:szCs w:val="20"/>
              </w:rPr>
            </w:pPr>
            <w:r>
              <w:rPr>
                <w:rFonts w:hint="eastAsia" w:ascii="宋体" w:hAnsi="宋体"/>
                <w:b/>
                <w:color w:val="auto"/>
                <w:sz w:val="20"/>
                <w:szCs w:val="20"/>
              </w:rPr>
              <w:t>统　计　指　标</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b/>
                <w:color w:val="auto"/>
                <w:sz w:val="20"/>
                <w:szCs w:val="20"/>
              </w:rPr>
            </w:pPr>
            <w:r>
              <w:rPr>
                <w:rFonts w:hint="eastAsia" w:ascii="宋体" w:hAnsi="宋体"/>
                <w:b/>
                <w:color w:val="auto"/>
                <w:sz w:val="20"/>
                <w:szCs w:val="20"/>
              </w:rPr>
              <w:t>单位</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eastAsia="宋体" w:cs="宋体"/>
                <w:b/>
                <w:color w:val="auto"/>
                <w:sz w:val="21"/>
                <w:szCs w:val="21"/>
              </w:rPr>
            </w:pPr>
            <w:r>
              <w:rPr>
                <w:rFonts w:hint="eastAsia" w:ascii="宋体" w:hAnsi="宋体"/>
                <w:b/>
                <w:color w:val="auto"/>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hint="eastAsia" w:cs="Times New Roman" w:asciiTheme="minorEastAsia" w:hAnsiTheme="minorEastAsia" w:eastAsiaTheme="minorEastAsia"/>
                <w:b/>
                <w:sz w:val="20"/>
                <w:szCs w:val="20"/>
              </w:rPr>
            </w:pPr>
            <w:r>
              <w:rPr>
                <w:rFonts w:hint="eastAsia" w:cs="Times New Roman" w:asciiTheme="minorEastAsia" w:hAnsiTheme="minorEastAsia" w:eastAsiaTheme="minorEastAsia"/>
                <w:b/>
                <w:sz w:val="20"/>
                <w:szCs w:val="20"/>
              </w:rPr>
              <w:t>一、主动公开情况</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mc:AlternateContent>
                <mc:Choice Requires="wpsCustomData">
                  <wpsCustomData:diagonalParaType/>
                </mc:Choice>
              </mc:AlternateContent>
              <w:rPr>
                <w:rFonts w:hint="eastAsia" w:cs="Times New Roman" w:asciiTheme="minorEastAsia" w:hAnsiTheme="minorEastAsia" w:eastAsiaTheme="minorEastAsia"/>
                <w:b/>
                <w:sz w:val="20"/>
                <w:szCs w:val="20"/>
              </w:rPr>
            </w:pPr>
          </w:p>
          <w:p>
            <w:pPr>
              <w:rPr>
                <w:rFonts w:hint="eastAsia" w:cs="Times New Roman" w:asciiTheme="minorEastAsia" w:hAnsiTheme="minorEastAsia" w:eastAsiaTheme="minorEastAsia"/>
                <w:b/>
                <w:sz w:val="20"/>
                <w:szCs w:val="20"/>
              </w:rPr>
            </w:pP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mc:AlternateContent>
                <mc:Choice Requires="wpsCustomData">
                  <wpsCustomData:diagonalParaType/>
                </mc:Choice>
              </mc:AlternateContent>
              <w:rPr>
                <w:rFonts w:hint="eastAsia" w:cs="Times New Roman" w:asciiTheme="minorEastAsia" w:hAnsiTheme="minorEastAsia" w:eastAsiaTheme="minorEastAsia"/>
                <w:b/>
                <w:sz w:val="20"/>
                <w:szCs w:val="20"/>
              </w:rPr>
            </w:pPr>
            <w:r>
              <w:rPr>
                <w:rFonts w:hint="eastAsia" w:cs="Times New Roman" w:asciiTheme="minorEastAsia" w:hAnsiTheme="minorEastAsia" w:eastAsiaTheme="minorEastAsia"/>
                <w:b/>
                <w:sz w:val="20"/>
                <w:szCs w:val="20"/>
              </w:rPr>
              <w:t>　</w:t>
            </w:r>
          </w:p>
          <w:p>
            <w:pPr>
              <w:rPr>
                <w:rFonts w:hint="eastAsia" w:cs="Times New Roman" w:asciiTheme="minorEastAsia" w:hAnsiTheme="minorEastAsia" w:eastAsiaTheme="minorEastAsia"/>
                <w:b/>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（一）主动公开政府信息数</w:t>
            </w:r>
            <w:r>
              <w:rPr>
                <w:rFonts w:hint="eastAsia" w:ascii="宋体" w:hAnsi="宋体"/>
                <w:color w:val="auto"/>
                <w:sz w:val="20"/>
                <w:szCs w:val="20"/>
              </w:rPr>
              <w:t>（不同渠道和方式公开相同信息计1条）</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145991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其中：主动公开规范性文件数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制发规范性文件总数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（二）通过不同渠道和方式公开政府信息的情况</w:t>
            </w:r>
          </w:p>
        </w:tc>
        <w:tc>
          <w:tcPr>
            <w:tcW w:w="938" w:type="dxa"/>
            <w:tcBorders>
              <w:top w:val="outset" w:color="000000" w:sz="6" w:space="0"/>
              <w:left w:val="outset" w:color="000000" w:sz="6" w:space="0"/>
              <w:bottom w:val="outset" w:color="000000" w:sz="6" w:space="0"/>
              <w:right w:val="outset" w:color="000000" w:sz="6" w:space="0"/>
              <w:tr2bl w:val="single" w:color="auto" w:sz="4" w:space="0"/>
            </w:tcBorders>
            <w:vAlign w:val="center"/>
          </w:tcPr>
          <w:p>
            <w:pPr>
              <w:jc w:val="center"/>
              <w:rPr>
                <w:rFonts w:ascii="宋体" w:hAnsi="宋体"/>
                <w:color w:val="auto"/>
                <w:sz w:val="20"/>
                <w:szCs w:val="20"/>
              </w:rPr>
            </w:pPr>
          </w:p>
        </w:tc>
        <w:tc>
          <w:tcPr>
            <w:tcW w:w="949" w:type="dxa"/>
            <w:tcBorders>
              <w:top w:val="outset" w:color="000000" w:sz="6" w:space="0"/>
              <w:left w:val="outset" w:color="000000" w:sz="6" w:space="0"/>
              <w:bottom w:val="single" w:color="auto" w:sz="4" w:space="0"/>
              <w:right w:val="outset" w:color="000000" w:sz="6" w:space="0"/>
            </w:tcBorders>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mc:AlternateContent>
                <mc:Choice Requires="wpsCustomData">
                  <wpsCustomData:diagonalParaType/>
                </mc:Choice>
              </mc:AlternateContent>
              <w:rPr>
                <w:rFonts w:hint="eastAsia" w:ascii="宋体" w:hAnsi="宋体" w:eastAsia="宋体" w:cs="宋体"/>
                <w:color w:val="auto"/>
                <w:sz w:val="21"/>
                <w:szCs w:val="21"/>
              </w:rPr>
            </w:pPr>
          </w:p>
          <w:p>
            <w:pPr>
              <w:snapToGrid w:val="0"/>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1.政府公报公开政府信息数</w:t>
            </w:r>
          </w:p>
        </w:tc>
        <w:tc>
          <w:tcPr>
            <w:tcW w:w="938" w:type="dxa"/>
            <w:tcBorders>
              <w:top w:val="outset" w:color="000000" w:sz="6" w:space="0"/>
              <w:left w:val="outset" w:color="000000" w:sz="6" w:space="0"/>
              <w:bottom w:val="outset" w:color="000000" w:sz="6" w:space="0"/>
              <w:right w:val="single" w:color="auto" w:sz="4"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single" w:color="auto" w:sz="4" w:space="0"/>
              <w:left w:val="single" w:color="auto" w:sz="4"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2.政府网站公开政府信息数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110150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3.政务微博公开政府信息数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43003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4.政务微信公开政府信息数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34336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5.其他方式公开政府信息数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23164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b/>
                <w:color w:val="auto"/>
                <w:sz w:val="20"/>
                <w:szCs w:val="20"/>
              </w:rPr>
            </w:pPr>
            <w:r>
              <w:rPr>
                <w:rFonts w:hint="eastAsia" w:ascii="宋体" w:hAnsi="宋体"/>
                <w:b/>
                <w:color w:val="auto"/>
                <w:sz w:val="20"/>
                <w:szCs w:val="20"/>
              </w:rPr>
              <w:t>二、回应解读情况（不同方式回应同一热点或舆情计1次）</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single" w:color="auto" w:sz="0" w:space="0"/>
              <w:bottom w:val="single" w:color="auto" w:sz="4"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（一）回应公众关注热点或重大舆情数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（二）通过不同渠道和方式回应解读的情况</w:t>
            </w:r>
          </w:p>
        </w:tc>
        <w:tc>
          <w:tcPr>
            <w:tcW w:w="938" w:type="dxa"/>
            <w:tcBorders>
              <w:top w:val="outset" w:color="000000" w:sz="6" w:space="0"/>
              <w:left w:val="outset" w:color="000000" w:sz="6" w:space="0"/>
              <w:bottom w:val="outset" w:color="000000" w:sz="6" w:space="0"/>
              <w:right w:val="outset" w:color="000000" w:sz="6" w:space="0"/>
              <w:tr2bl w:val="single" w:color="auto" w:sz="4" w:space="0"/>
            </w:tcBorders>
            <w:vAlign w:val="center"/>
          </w:tcPr>
          <w:p>
            <w:pPr>
              <w:jc w:val="center"/>
              <w:rPr>
                <w:rFonts w:ascii="宋体" w:hAnsi="宋体"/>
                <w:color w:val="auto"/>
                <w:sz w:val="20"/>
                <w:szCs w:val="20"/>
              </w:rPr>
            </w:pPr>
          </w:p>
        </w:tc>
        <w:tc>
          <w:tcPr>
            <w:tcW w:w="949" w:type="dxa"/>
            <w:tcBorders>
              <w:top w:val="outset" w:color="000000" w:sz="6" w:space="0"/>
              <w:left w:val="outset" w:color="000000" w:sz="6" w:space="0"/>
              <w:bottom w:val="outset" w:color="000000" w:sz="6" w:space="0"/>
              <w:right w:val="outset" w:color="000000" w:sz="6" w:space="0"/>
            </w:tcBorders>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1.参加或举办新闻发布会总次数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其中：主要负责同志参加新闻发布会次数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2.政府网站在线访谈次数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其中：主要负责同志参加政府网站在线访谈次数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3.政策解读稿件发布数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篇</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4.微博微信回应事件数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5.其他方式回应事件数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3189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三、依申请公开情况</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both"/>
              <mc:AlternateContent>
                <mc:Choice Requires="wpsCustomData">
                  <wpsCustomData:diagonalParaType/>
                </mc:Choice>
              </mc:AlternateContent>
              <w:rPr>
                <w:rFonts w:ascii="宋体" w:hAnsi="宋体"/>
                <w:color w:val="auto"/>
                <w:sz w:val="20"/>
                <w:szCs w:val="20"/>
              </w:rPr>
            </w:pPr>
          </w:p>
          <w:p>
            <w:pPr>
              <w:jc w:val="both"/>
              <w:rPr>
                <w:rFonts w:ascii="宋体" w:hAnsi="宋体"/>
                <w:color w:val="auto"/>
                <w:sz w:val="20"/>
                <w:szCs w:val="20"/>
              </w:rPr>
            </w:pPr>
          </w:p>
        </w:tc>
        <w:tc>
          <w:tcPr>
            <w:tcW w:w="949" w:type="dxa"/>
            <w:tcBorders>
              <w:top w:val="outset" w:color="000000" w:sz="6" w:space="0"/>
              <w:left w:val="single" w:color="auto" w:sz="0" w:space="0"/>
              <w:bottom w:val="outset" w:color="000000" w:sz="6"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（一）收到申请数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1.当面申请数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2.传真申请数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3.网络申请数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single" w:color="auto" w:sz="4"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4.信函申请数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single" w:color="auto" w:sz="4" w:space="0"/>
              <w:bottom w:val="outset" w:color="000000" w:sz="6" w:space="0"/>
              <w:right w:val="outset" w:color="000000" w:sz="6" w:space="0"/>
            </w:tcBorders>
            <w:vAlign w:val="center"/>
          </w:tcPr>
          <w:p>
            <w:pPr>
              <w:rPr>
                <w:rFonts w:ascii="宋体" w:hAnsi="宋体"/>
                <w:color w:val="auto"/>
                <w:sz w:val="20"/>
                <w:szCs w:val="20"/>
              </w:rPr>
            </w:pPr>
            <w:r>
              <w:rPr>
                <w:rFonts w:hint="eastAsia" w:ascii="宋体" w:hAnsi="宋体"/>
                <w:color w:val="auto"/>
                <w:sz w:val="20"/>
                <w:szCs w:val="20"/>
              </w:rPr>
              <w:t xml:space="preserve">          5.其他形式</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（二）申请办结数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1.按时办结数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966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2.延期办结数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（三）申请答复数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1.属于已主动公开范围数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2.同意公开答复数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444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3.同意部分公开答复数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4.不同意公开答复数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其中：涉及国家秘密</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涉及商业秘密</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涉及个人隐私</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危及国家安全、公共安全、经济安全和社会稳定</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不是《条例》所指政府信息</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法律法规规定的其他情形</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5.不属于本行政机关公开数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70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6.申请信息不存在数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74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7.告知作出更改补充数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8.告知通过其他途径办理数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四、行政复议数量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（一）维持具体行政行为数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（二）被依法纠错数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（三）其他情形数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五、行政诉讼数量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（一）维持具体行政行为或者驳回原告诉讼请求数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（二）被依法纠错数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（三）其他情形数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六、被举报投诉数量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（一）维持具体行政行为数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（二）被纠错数</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（三）其他情形数</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件</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七、向图书馆、档案馆等查阅场所报送信息数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42187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rPr>
                <w:rFonts w:ascii="宋体" w:hAnsi="宋体"/>
                <w:color w:val="auto"/>
                <w:sz w:val="20"/>
                <w:szCs w:val="20"/>
              </w:rPr>
            </w:pPr>
            <w:r>
              <w:rPr>
                <w:rFonts w:ascii="宋体" w:hAnsi="宋体"/>
                <w:color w:val="auto"/>
                <w:sz w:val="20"/>
                <w:szCs w:val="20"/>
              </w:rPr>
              <w:t>　　（一）</w:t>
            </w:r>
            <w:r>
              <w:rPr>
                <w:rFonts w:hint="eastAsia" w:ascii="宋体" w:hAnsi="宋体"/>
                <w:color w:val="auto"/>
                <w:sz w:val="20"/>
                <w:szCs w:val="20"/>
              </w:rPr>
              <w:t>纸质文件数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21638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w:t>
            </w:r>
            <w:r>
              <w:rPr>
                <w:rFonts w:hint="eastAsia" w:ascii="宋体" w:hAnsi="宋体"/>
                <w:color w:val="auto"/>
                <w:sz w:val="20"/>
                <w:szCs w:val="20"/>
              </w:rPr>
              <w:t>电子文件数</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条</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20549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八、开通政府信息公开网站（或设立门户网站信息公开专栏）数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（一）市政府及其部门门户网站</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w:t>
            </w:r>
            <w:r>
              <w:rPr>
                <w:rFonts w:hint="eastAsia" w:ascii="宋体" w:hAnsi="宋体"/>
                <w:color w:val="auto"/>
                <w:sz w:val="20"/>
                <w:szCs w:val="20"/>
                <w:lang w:eastAsia="zh-CN"/>
              </w:rPr>
              <w:t>二</w:t>
            </w:r>
            <w:r>
              <w:rPr>
                <w:rFonts w:ascii="宋体" w:hAnsi="宋体"/>
                <w:color w:val="auto"/>
                <w:sz w:val="20"/>
                <w:szCs w:val="20"/>
              </w:rPr>
              <w:t>）</w:t>
            </w:r>
            <w:r>
              <w:rPr>
                <w:rFonts w:hint="eastAsia" w:ascii="宋体" w:hAnsi="宋体"/>
                <w:color w:val="auto"/>
                <w:sz w:val="20"/>
                <w:szCs w:val="20"/>
              </w:rPr>
              <w:t>区县政府及其部门门户网站</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hint="eastAsia" w:ascii="宋体" w:hAnsi="宋体"/>
                <w:color w:val="auto"/>
                <w:sz w:val="20"/>
                <w:szCs w:val="20"/>
              </w:rPr>
            </w:pPr>
            <w:r>
              <w:rPr>
                <w:rFonts w:hint="eastAsia" w:ascii="宋体" w:hAnsi="宋体"/>
                <w:color w:val="auto"/>
                <w:sz w:val="20"/>
                <w:szCs w:val="20"/>
              </w:rPr>
              <w:t>（</w:t>
            </w:r>
            <w:r>
              <w:rPr>
                <w:rFonts w:hint="eastAsia" w:ascii="宋体" w:hAnsi="宋体"/>
                <w:color w:val="auto"/>
                <w:sz w:val="20"/>
                <w:szCs w:val="20"/>
                <w:lang w:eastAsia="zh-CN"/>
              </w:rPr>
              <w:t>三</w:t>
            </w:r>
            <w:r>
              <w:rPr>
                <w:rFonts w:hint="eastAsia" w:ascii="宋体" w:hAnsi="宋体"/>
                <w:color w:val="auto"/>
                <w:sz w:val="20"/>
                <w:szCs w:val="20"/>
              </w:rPr>
              <w:t>）镇、街道办事处门户网站</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hint="eastAsia"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九、政府公报发行量</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w:rPr>
                <w:rFonts w:ascii="宋体" w:hAnsi="宋体"/>
                <w:color w:val="auto"/>
                <w:sz w:val="20"/>
                <w:szCs w:val="20"/>
              </w:rPr>
            </w:pPr>
          </w:p>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jc w:val="right"/>
              <w:rPr>
                <w:rFonts w:hint="eastAsia" w:ascii="宋体" w:hAnsi="宋体" w:eastAsia="宋体" w:cs="宋体"/>
                <w:color w:val="auto"/>
                <w:sz w:val="21"/>
                <w:szCs w:val="21"/>
              </w:rPr>
            </w:pPr>
          </w:p>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single" w:color="auto" w:sz="4"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（一）</w:t>
            </w:r>
            <w:r>
              <w:rPr>
                <w:rFonts w:hint="eastAsia" w:ascii="宋体" w:hAnsi="宋体"/>
                <w:color w:val="auto"/>
                <w:sz w:val="20"/>
                <w:szCs w:val="20"/>
              </w:rPr>
              <w:t>公报发行期数</w:t>
            </w:r>
          </w:p>
        </w:tc>
        <w:tc>
          <w:tcPr>
            <w:tcW w:w="938"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期</w:t>
            </w:r>
          </w:p>
        </w:tc>
        <w:tc>
          <w:tcPr>
            <w:tcW w:w="949" w:type="dxa"/>
            <w:tcBorders>
              <w:top w:val="outset" w:color="000000" w:sz="6"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ind w:firstLine="400" w:firstLineChars="200"/>
              <w:rPr>
                <w:rFonts w:ascii="宋体" w:hAnsi="宋体"/>
                <w:color w:val="auto"/>
                <w:sz w:val="20"/>
                <w:szCs w:val="20"/>
              </w:rPr>
            </w:pPr>
            <w:r>
              <w:rPr>
                <w:rFonts w:hint="eastAsia" w:ascii="宋体" w:hAnsi="宋体"/>
                <w:color w:val="auto"/>
                <w:sz w:val="20"/>
                <w:szCs w:val="20"/>
              </w:rPr>
              <w:t>（二）公报发行总份数</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份</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70642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十、设置政府信息查阅点数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382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（一）市政府及其部门</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single" w:color="auto" w:sz="4"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w:t>
            </w:r>
            <w:r>
              <w:rPr>
                <w:rFonts w:hint="eastAsia" w:ascii="宋体" w:hAnsi="宋体"/>
                <w:color w:val="auto"/>
                <w:sz w:val="20"/>
                <w:szCs w:val="20"/>
                <w:lang w:eastAsia="zh-CN"/>
              </w:rPr>
              <w:t>二</w:t>
            </w:r>
            <w:r>
              <w:rPr>
                <w:rFonts w:ascii="宋体" w:hAnsi="宋体"/>
                <w:color w:val="auto"/>
                <w:sz w:val="20"/>
                <w:szCs w:val="20"/>
              </w:rPr>
              <w:t>）</w:t>
            </w:r>
            <w:r>
              <w:rPr>
                <w:rFonts w:hint="eastAsia" w:ascii="宋体" w:hAnsi="宋体"/>
                <w:color w:val="auto"/>
                <w:sz w:val="20"/>
                <w:szCs w:val="20"/>
              </w:rPr>
              <w:t>区县政府及其部门</w:t>
            </w:r>
          </w:p>
        </w:tc>
        <w:tc>
          <w:tcPr>
            <w:tcW w:w="938"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single" w:color="auto" w:sz="4"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247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single" w:color="auto" w:sz="4" w:space="0"/>
              <w:left w:val="outset" w:color="000000" w:sz="6" w:space="0"/>
              <w:bottom w:val="outset" w:color="000000" w:sz="6" w:space="0"/>
              <w:right w:val="outset" w:color="000000" w:sz="6" w:space="0"/>
            </w:tcBorders>
            <w:vAlign w:val="center"/>
          </w:tcPr>
          <w:p>
            <w:pPr>
              <w:ind w:firstLine="400" w:firstLineChars="200"/>
              <w:rPr>
                <w:rFonts w:ascii="宋体" w:hAnsi="宋体"/>
                <w:color w:val="auto"/>
                <w:sz w:val="20"/>
                <w:szCs w:val="20"/>
              </w:rPr>
            </w:pPr>
            <w:r>
              <w:rPr>
                <w:rFonts w:ascii="宋体" w:hAnsi="宋体"/>
                <w:color w:val="auto"/>
                <w:sz w:val="20"/>
                <w:szCs w:val="20"/>
              </w:rPr>
              <w:t>（</w:t>
            </w:r>
            <w:r>
              <w:rPr>
                <w:rFonts w:hint="eastAsia" w:ascii="宋体" w:hAnsi="宋体"/>
                <w:color w:val="auto"/>
                <w:sz w:val="20"/>
                <w:szCs w:val="20"/>
                <w:lang w:eastAsia="zh-CN"/>
              </w:rPr>
              <w:t>三</w:t>
            </w:r>
            <w:r>
              <w:rPr>
                <w:rFonts w:ascii="宋体" w:hAnsi="宋体"/>
                <w:color w:val="auto"/>
                <w:sz w:val="20"/>
                <w:szCs w:val="20"/>
              </w:rPr>
              <w:t>）</w:t>
            </w:r>
            <w:r>
              <w:rPr>
                <w:rFonts w:hint="eastAsia" w:ascii="宋体" w:hAnsi="宋体"/>
                <w:color w:val="auto"/>
                <w:sz w:val="20"/>
                <w:szCs w:val="20"/>
              </w:rPr>
              <w:t>镇办</w:t>
            </w:r>
          </w:p>
        </w:tc>
        <w:tc>
          <w:tcPr>
            <w:tcW w:w="938"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74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hint="eastAsia" w:ascii="宋体" w:hAnsi="宋体"/>
                <w:b/>
                <w:color w:val="auto"/>
                <w:sz w:val="20"/>
                <w:szCs w:val="20"/>
              </w:rPr>
            </w:pPr>
            <w:r>
              <w:rPr>
                <w:rFonts w:hint="eastAsia" w:ascii="宋体" w:hAnsi="宋体"/>
                <w:b/>
                <w:color w:val="auto"/>
                <w:sz w:val="20"/>
                <w:szCs w:val="20"/>
              </w:rPr>
              <w:t>十一、查阅点接待人数</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center"/>
              <w:rPr>
                <w:rFonts w:hint="eastAsia"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32872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（一）市政府及其部门</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16436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b/>
                <w:color w:val="auto"/>
                <w:sz w:val="20"/>
                <w:szCs w:val="20"/>
              </w:rPr>
            </w:pPr>
            <w:r>
              <w:rPr>
                <w:rFonts w:ascii="宋体" w:hAnsi="宋体"/>
                <w:color w:val="auto"/>
                <w:sz w:val="20"/>
                <w:szCs w:val="20"/>
              </w:rPr>
              <w:t>（</w:t>
            </w:r>
            <w:r>
              <w:rPr>
                <w:rFonts w:hint="eastAsia" w:ascii="宋体" w:hAnsi="宋体"/>
                <w:color w:val="auto"/>
                <w:sz w:val="20"/>
                <w:szCs w:val="20"/>
                <w:lang w:eastAsia="zh-CN"/>
              </w:rPr>
              <w:t>二</w:t>
            </w:r>
            <w:r>
              <w:rPr>
                <w:rFonts w:ascii="宋体" w:hAnsi="宋体"/>
                <w:color w:val="auto"/>
                <w:sz w:val="20"/>
                <w:szCs w:val="20"/>
              </w:rPr>
              <w:t>）</w:t>
            </w:r>
            <w:r>
              <w:rPr>
                <w:rFonts w:hint="eastAsia" w:ascii="宋体" w:hAnsi="宋体"/>
                <w:color w:val="auto"/>
                <w:sz w:val="20"/>
                <w:szCs w:val="20"/>
              </w:rPr>
              <w:t>区县政府及其部门</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11831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b/>
                <w:color w:val="auto"/>
                <w:sz w:val="20"/>
                <w:szCs w:val="20"/>
              </w:rPr>
            </w:pPr>
            <w:r>
              <w:rPr>
                <w:rFonts w:ascii="宋体" w:hAnsi="宋体"/>
                <w:color w:val="auto"/>
                <w:sz w:val="20"/>
                <w:szCs w:val="20"/>
              </w:rPr>
              <w:t>（</w:t>
            </w:r>
            <w:r>
              <w:rPr>
                <w:rFonts w:hint="eastAsia" w:ascii="宋体" w:hAnsi="宋体"/>
                <w:color w:val="auto"/>
                <w:sz w:val="20"/>
                <w:szCs w:val="20"/>
                <w:lang w:eastAsia="zh-CN"/>
              </w:rPr>
              <w:t>三</w:t>
            </w:r>
            <w:r>
              <w:rPr>
                <w:rFonts w:ascii="宋体" w:hAnsi="宋体"/>
                <w:color w:val="auto"/>
                <w:sz w:val="20"/>
                <w:szCs w:val="20"/>
              </w:rPr>
              <w:t>）</w:t>
            </w:r>
            <w:r>
              <w:rPr>
                <w:rFonts w:hint="eastAsia" w:ascii="宋体" w:hAnsi="宋体"/>
                <w:color w:val="auto"/>
                <w:sz w:val="20"/>
                <w:szCs w:val="20"/>
              </w:rPr>
              <w:t>镇办</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rPr>
            </w:pPr>
            <w:r>
              <w:rPr>
                <w:rFonts w:hint="eastAsia" w:ascii="宋体" w:hAnsi="宋体" w:eastAsia="宋体" w:cs="宋体"/>
                <w:color w:val="auto"/>
                <w:sz w:val="21"/>
                <w:szCs w:val="21"/>
              </w:rPr>
              <w:t>4605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tabs>
                <w:tab w:val="left" w:pos="5320"/>
              </w:tabs>
              <w:rPr>
                <w:rFonts w:hint="eastAsia" w:ascii="宋体" w:hAnsi="宋体" w:eastAsia="宋体"/>
                <w:color w:val="auto"/>
                <w:sz w:val="20"/>
                <w:szCs w:val="20"/>
                <w:lang w:eastAsia="zh-CN"/>
              </w:rPr>
            </w:pPr>
            <w:r>
              <w:rPr>
                <w:rFonts w:hint="eastAsia" w:ascii="宋体" w:hAnsi="宋体"/>
                <w:b/>
                <w:color w:val="auto"/>
                <w:sz w:val="20"/>
                <w:szCs w:val="20"/>
              </w:rPr>
              <w:t>十二、机构建设和保障经费情况</w:t>
            </w:r>
            <w:r>
              <w:rPr>
                <w:rFonts w:hint="eastAsia" w:ascii="宋体" w:hAnsi="宋体"/>
                <w:b/>
                <w:color w:val="auto"/>
                <w:sz w:val="20"/>
                <w:szCs w:val="20"/>
                <w:lang w:eastAsia="zh-CN"/>
              </w:rPr>
              <w:tab/>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w:rPr>
                <w:rFonts w:ascii="宋体" w:hAnsi="宋体"/>
                <w:color w:val="auto"/>
                <w:sz w:val="20"/>
                <w:szCs w:val="20"/>
              </w:rPr>
            </w:pPr>
          </w:p>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outset" w:color="000000" w:sz="6" w:space="0"/>
              <w:bottom w:val="single" w:color="auto" w:sz="4"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（一）政府信息公开工作机构数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个</w:t>
            </w:r>
          </w:p>
        </w:tc>
        <w:tc>
          <w:tcPr>
            <w:tcW w:w="949" w:type="dxa"/>
            <w:tcBorders>
              <w:top w:val="single" w:color="auto" w:sz="4"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ind w:firstLine="400" w:firstLineChars="200"/>
              <w:rPr>
                <w:rFonts w:hint="eastAsia" w:ascii="宋体" w:hAnsi="宋体" w:eastAsia="宋体"/>
                <w:color w:val="auto"/>
                <w:sz w:val="20"/>
                <w:szCs w:val="20"/>
                <w:lang w:eastAsia="zh-CN"/>
              </w:rPr>
            </w:pPr>
            <w:r>
              <w:rPr>
                <w:rFonts w:hint="eastAsia" w:ascii="宋体" w:hAnsi="宋体"/>
                <w:color w:val="auto"/>
                <w:sz w:val="20"/>
                <w:szCs w:val="20"/>
                <w:lang w:eastAsia="zh-CN"/>
              </w:rPr>
              <w:t>（二）设置政府信息公开查阅点数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hint="eastAsia" w:ascii="宋体" w:hAnsi="宋体" w:eastAsia="宋体"/>
                <w:color w:val="auto"/>
                <w:sz w:val="20"/>
                <w:szCs w:val="20"/>
                <w:lang w:eastAsia="zh-CN"/>
              </w:rPr>
            </w:pPr>
            <w:r>
              <w:rPr>
                <w:rFonts w:hint="eastAsia" w:ascii="宋体" w:hAnsi="宋体"/>
                <w:color w:val="auto"/>
                <w:sz w:val="20"/>
                <w:szCs w:val="20"/>
                <w:lang w:eastAsia="zh-CN"/>
              </w:rPr>
              <w:t>个</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w:t>
            </w:r>
            <w:r>
              <w:rPr>
                <w:rFonts w:hint="eastAsia" w:ascii="宋体" w:hAnsi="宋体"/>
                <w:color w:val="auto"/>
                <w:sz w:val="20"/>
                <w:szCs w:val="20"/>
                <w:lang w:eastAsia="zh-CN"/>
              </w:rPr>
              <w:t>三</w:t>
            </w:r>
            <w:r>
              <w:rPr>
                <w:rFonts w:ascii="宋体" w:hAnsi="宋体"/>
                <w:color w:val="auto"/>
                <w:sz w:val="20"/>
                <w:szCs w:val="20"/>
              </w:rPr>
              <w:t>）从事政府信息公开工作人员数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778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1.专职人员数（不包括政府公报及政府网站工作人员数）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2.兼职人员数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w:t>
            </w:r>
            <w:r>
              <w:rPr>
                <w:rFonts w:hint="eastAsia" w:ascii="宋体" w:hAnsi="宋体"/>
                <w:color w:val="auto"/>
                <w:sz w:val="20"/>
                <w:szCs w:val="20"/>
                <w:lang w:eastAsia="zh-CN"/>
              </w:rPr>
              <w:t>四</w:t>
            </w:r>
            <w:r>
              <w:rPr>
                <w:rFonts w:ascii="宋体" w:hAnsi="宋体"/>
                <w:color w:val="auto"/>
                <w:sz w:val="20"/>
                <w:szCs w:val="20"/>
              </w:rPr>
              <w:t>）政府信息公开专项经费（不包括用于政府公报编辑管理及政府网站建设</w:t>
            </w:r>
            <w:r>
              <w:rPr>
                <w:rFonts w:hint="eastAsia" w:ascii="宋体" w:hAnsi="宋体"/>
                <w:color w:val="auto"/>
                <w:sz w:val="20"/>
                <w:szCs w:val="20"/>
              </w:rPr>
              <w:t>维</w:t>
            </w:r>
            <w:r>
              <w:rPr>
                <w:rFonts w:ascii="宋体" w:hAnsi="宋体"/>
                <w:color w:val="auto"/>
                <w:sz w:val="20"/>
                <w:szCs w:val="20"/>
              </w:rPr>
              <w:t>护等方面的经费）</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万元</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98.3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shd w:val="clear" w:color="auto" w:fill="00B050"/>
            <w:vAlign w:val="center"/>
          </w:tcPr>
          <w:p>
            <w:pPr>
              <w:rPr>
                <w:rFonts w:ascii="宋体" w:hAnsi="宋体"/>
                <w:color w:val="auto"/>
                <w:sz w:val="20"/>
                <w:szCs w:val="20"/>
              </w:rPr>
            </w:pPr>
            <w:r>
              <w:rPr>
                <w:rFonts w:hint="eastAsia" w:ascii="宋体" w:hAnsi="宋体"/>
                <w:b/>
                <w:color w:val="auto"/>
                <w:sz w:val="20"/>
                <w:szCs w:val="20"/>
              </w:rPr>
              <w:t>十三、政府信息公开会议和培训情况</w:t>
            </w:r>
          </w:p>
        </w:tc>
        <w:tc>
          <w:tcPr>
            <w:tcW w:w="938"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20000" to="0">
                    <wpsCustomData:border w:val="single" w:color="000000" w:sz="6" w:space="0"/>
                  </wpsCustomData:diagonal>
                </wpsCustomData:diagonals>
              </mc:Choice>
            </mc:AlternateContent>
          </w:tcPr>
          <w:p>
            <w:pPr>
              <w:snapToGrid w:val="0"/>
              <w:jc w:val="center"/>
              <mc:AlternateContent>
                <mc:Choice Requires="wpsCustomData">
                  <wpsCustomData:diagonalParaType/>
                </mc:Choice>
              </mc:AlternateContent>
              <w:rPr>
                <w:rFonts w:ascii="宋体" w:hAnsi="宋体"/>
                <w:color w:val="auto"/>
                <w:sz w:val="20"/>
                <w:szCs w:val="20"/>
              </w:rPr>
            </w:pPr>
          </w:p>
          <w:p>
            <w:pPr>
              <w:jc w:val="center"/>
              <w:rPr>
                <w:rFonts w:ascii="宋体" w:hAnsi="宋体"/>
                <w:color w:val="auto"/>
                <w:sz w:val="20"/>
                <w:szCs w:val="20"/>
              </w:rPr>
            </w:pPr>
          </w:p>
        </w:tc>
        <w:tc>
          <w:tcPr>
            <w:tcW w:w="949" w:type="dxa"/>
            <w:tcBorders>
              <w:top w:val="outset" w:color="000000" w:sz="6" w:space="0"/>
              <w:left w:val="outset" w:color="000000" w:sz="6" w:space="0"/>
              <w:bottom w:val="outset" w:color="000000" w:sz="6" w:space="0"/>
              <w:right w:val="outset" w:color="000000" w:sz="6" w:space="0"/>
            </w:tcBorders>
            <w:shd w:val="clear" w:color="auto" w:fill="00B050"/>
            <w:vAlign w:val="center"/>
            <mc:AlternateContent>
              <mc:Choice Requires="wpsCustomData">
                <wpsCustomData:diagonals>
                  <wpsCustomData:diagonal from="0" to="20000">
                    <wpsCustomData:border w:val="single" w:color="000000" w:sz="6" w:space="0"/>
                  </wpsCustomData:diagonal>
                </wpsCustomData:diagonals>
              </mc:Choice>
            </mc:AlternateContent>
          </w:tcPr>
          <w:p>
            <w:pPr>
              <w:snapToGrid w:val="0"/>
              <w:spacing w:line="240" w:lineRule="auto"/>
              <w:jc w:val="right"/>
              <mc:AlternateContent>
                <mc:Choice Requires="wpsCustomData">
                  <wpsCustomData:diagonalParaType/>
                </mc:Choice>
              </mc:AlternateContent>
              <w:rPr>
                <w:rFonts w:hint="eastAsia" w:ascii="宋体" w:hAnsi="宋体" w:eastAsia="宋体" w:cs="宋体"/>
                <w:color w:val="auto"/>
                <w:sz w:val="21"/>
                <w:szCs w:val="21"/>
              </w:rPr>
            </w:pPr>
          </w:p>
          <w:p>
            <w:pPr>
              <w:jc w:val="right"/>
              <w:rPr>
                <w:rFonts w:hint="eastAsia" w:ascii="宋体" w:hAnsi="宋体" w:eastAsia="宋体" w:cs="宋体"/>
                <w:color w:val="auto"/>
                <w:sz w:val="21"/>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（一）召开政府信息公开工作会议或专题会议数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（二）举办各类培训班数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3" w:hRule="atLeast"/>
        </w:trPr>
        <w:tc>
          <w:tcPr>
            <w:tcW w:w="6389" w:type="dxa"/>
            <w:tcBorders>
              <w:top w:val="outset" w:color="000000" w:sz="6" w:space="0"/>
              <w:left w:val="outset" w:color="000000" w:sz="6" w:space="0"/>
              <w:bottom w:val="outset" w:color="000000" w:sz="6" w:space="0"/>
              <w:right w:val="outset" w:color="000000" w:sz="6" w:space="0"/>
            </w:tcBorders>
            <w:vAlign w:val="center"/>
          </w:tcPr>
          <w:p>
            <w:pPr>
              <w:rPr>
                <w:rFonts w:ascii="宋体" w:hAnsi="宋体"/>
                <w:color w:val="auto"/>
                <w:sz w:val="20"/>
                <w:szCs w:val="20"/>
              </w:rPr>
            </w:pPr>
            <w:r>
              <w:rPr>
                <w:rFonts w:ascii="宋体" w:hAnsi="宋体"/>
                <w:color w:val="auto"/>
                <w:sz w:val="20"/>
                <w:szCs w:val="20"/>
              </w:rPr>
              <w:t>　　（三）接受培训人员数</w:t>
            </w:r>
          </w:p>
        </w:tc>
        <w:tc>
          <w:tcPr>
            <w:tcW w:w="938"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color w:val="auto"/>
                <w:sz w:val="20"/>
                <w:szCs w:val="20"/>
              </w:rPr>
            </w:pPr>
            <w:r>
              <w:rPr>
                <w:rFonts w:hint="eastAsia" w:ascii="宋体" w:hAnsi="宋体"/>
                <w:color w:val="auto"/>
                <w:sz w:val="20"/>
                <w:szCs w:val="20"/>
              </w:rPr>
              <w:t>人次</w:t>
            </w:r>
          </w:p>
        </w:tc>
        <w:tc>
          <w:tcPr>
            <w:tcW w:w="949" w:type="dxa"/>
            <w:tcBorders>
              <w:top w:val="outset" w:color="000000" w:sz="6" w:space="0"/>
              <w:left w:val="outset" w:color="000000" w:sz="6" w:space="0"/>
              <w:bottom w:val="outset" w:color="000000" w:sz="6" w:space="0"/>
              <w:right w:val="outset" w:color="000000" w:sz="6" w:space="0"/>
            </w:tcBorders>
            <w:vAlign w:val="center"/>
          </w:tcPr>
          <w:p>
            <w:pPr>
              <w:jc w:val="righ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4465</w:t>
            </w:r>
          </w:p>
        </w:tc>
      </w:tr>
    </w:tbl>
    <w:p>
      <w:pPr>
        <w:keepNext w:val="0"/>
        <w:keepLines w:val="0"/>
        <w:pageBreakBefore w:val="0"/>
        <w:widowControl w:val="0"/>
        <w:kinsoku/>
        <w:wordWrap/>
        <w:overflowPunct/>
        <w:topLinePunct w:val="0"/>
        <w:autoSpaceDE/>
        <w:autoSpaceDN/>
        <w:bidi w:val="0"/>
        <w:adjustRightInd/>
        <w:snapToGrid/>
        <w:jc w:val="left"/>
        <w:textAlignment w:val="auto"/>
        <w:rPr>
          <w:rFonts w:ascii="仿宋" w:hAnsi="仿宋" w:eastAsia="仿宋" w:cs="仿宋"/>
          <w:sz w:val="32"/>
          <w:szCs w:val="32"/>
        </w:rPr>
      </w:pPr>
    </w:p>
    <w:sectPr>
      <w:headerReference r:id="rId3" w:type="default"/>
      <w:footerReference r:id="rId5" w:type="default"/>
      <w:headerReference r:id="rId4" w:type="even"/>
      <w:footerReference r:id="rId6" w:type="even"/>
      <w:pgSz w:w="11906" w:h="16838"/>
      <w:pgMar w:top="1440" w:right="1800" w:bottom="1440" w:left="1800" w:header="851" w:footer="992" w:gutter="0"/>
      <w:pgBorders>
        <w:top w:val="threeDEngrave" w:color="92D050" w:sz="24" w:space="5"/>
      </w:pgBorders>
      <w:pgNumType w:fmt="decimalFullWidt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Goudy Old Style">
    <w:panose1 w:val="02020502050305020303"/>
    <w:charset w:val="00"/>
    <w:family w:val="roman"/>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文星标宋">
    <w:altName w:val="微软雅黑"/>
    <w:panose1 w:val="02010604000101010101"/>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fldChar w:fldCharType="begin"/>
    </w:r>
    <w:r>
      <w:instrText xml:space="preserve"> PAGE   \* MERGEFORMAT </w:instrText>
    </w:r>
    <w:r>
      <w:fldChar w:fldCharType="separate"/>
    </w:r>
    <w:r>
      <w:rPr>
        <w:rFonts w:hint="eastAsia"/>
        <w:lang w:val="zh-CN"/>
      </w:rPr>
      <w:t>２９</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fldChar w:fldCharType="begin"/>
    </w:r>
    <w:r>
      <w:instrText xml:space="preserve"> PAGE   \* MERGEFORMAT </w:instrText>
    </w:r>
    <w:r>
      <w:fldChar w:fldCharType="separate"/>
    </w:r>
    <w:r>
      <w:rPr>
        <w:rFonts w:hint="eastAsia"/>
        <w:lang w:val="zh-CN"/>
      </w:rPr>
      <w:t>２８</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rPr>
        <w:sz w:val="18"/>
      </w:rPr>
    </w:pPr>
    <w:r>
      <w:rPr>
        <w:i/>
        <w:color w:val="FF0000"/>
        <w:sz w:val="24"/>
      </w:rPr>
      <w:t>201</w:t>
    </w:r>
    <w:r>
      <w:rPr>
        <w:rFonts w:hint="eastAsia"/>
        <w:i/>
        <w:color w:val="FF0000"/>
        <w:sz w:val="24"/>
        <w:lang w:val="en-US" w:eastAsia="zh-CN"/>
      </w:rPr>
      <w:t>8</w:t>
    </w:r>
    <w:r>
      <w:rPr>
        <w:rFonts w:hint="eastAsia" w:ascii="仿宋_GB2312" w:eastAsia="仿宋_GB2312"/>
        <w:sz w:val="18"/>
      </w:rPr>
      <w:t>淄博市政府信息公开工作年度报告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765"/>
        <w:tab w:val="clear" w:pos="4153"/>
        <w:tab w:val="clear" w:pos="8306"/>
      </w:tabs>
      <w:jc w:val="both"/>
    </w:pPr>
    <w:r>
      <w:rPr>
        <w:rFonts w:hint="eastAsia"/>
        <w:i/>
        <w:color w:val="FF0000"/>
        <w:sz w:val="21"/>
      </w:rPr>
      <w:t>201</w:t>
    </w:r>
    <w:r>
      <w:rPr>
        <w:rFonts w:hint="eastAsia"/>
        <w:i/>
        <w:color w:val="FF0000"/>
        <w:sz w:val="21"/>
        <w:lang w:val="en-US" w:eastAsia="zh-CN"/>
      </w:rPr>
      <w:t>8</w:t>
    </w:r>
    <w:r>
      <w:rPr>
        <w:rFonts w:hint="eastAsia"/>
        <w:sz w:val="18"/>
      </w:rPr>
      <w:t>　Zibo Shi ZhengFuXinXiGongKaiGongZuoNianD</w:t>
    </w:r>
    <w:r>
      <w:rPr>
        <w:sz w:val="18"/>
      </w:rPr>
      <w:t>u</w:t>
    </w:r>
    <w:r>
      <w:rPr>
        <w:rFonts w:hint="eastAsia"/>
        <w:sz w:val="18"/>
      </w:rPr>
      <w:t>BaoGao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6A57D4"/>
    <w:multiLevelType w:val="singleLevel"/>
    <w:tmpl w:val="D56A57D4"/>
    <w:lvl w:ilvl="0" w:tentative="0">
      <w:start w:val="1"/>
      <w:numFmt w:val="chineseCounting"/>
      <w:suff w:val="nothing"/>
      <w:lvlText w:val="（%1）"/>
      <w:lvlJc w:val="left"/>
      <w:pPr>
        <w:ind w:left="640" w:firstLine="0"/>
      </w:pPr>
      <w:rPr>
        <w:rFonts w:hint="eastAsia"/>
      </w:rPr>
    </w:lvl>
  </w:abstractNum>
  <w:abstractNum w:abstractNumId="1">
    <w:nsid w:val="D60DD80A"/>
    <w:multiLevelType w:val="singleLevel"/>
    <w:tmpl w:val="D60DD80A"/>
    <w:lvl w:ilvl="0" w:tentative="0">
      <w:start w:val="1"/>
      <w:numFmt w:val="chineseCounting"/>
      <w:suff w:val="nothing"/>
      <w:lvlText w:val="（%1）"/>
      <w:lvlJc w:val="left"/>
      <w:rPr>
        <w:rFonts w:hint="eastAsia"/>
      </w:rPr>
    </w:lvl>
  </w:abstractNum>
  <w:abstractNum w:abstractNumId="2">
    <w:nsid w:val="5D76CBED"/>
    <w:multiLevelType w:val="singleLevel"/>
    <w:tmpl w:val="5D76CBED"/>
    <w:lvl w:ilvl="0" w:tentative="0">
      <w:start w:val="7"/>
      <w:numFmt w:val="chineseCounting"/>
      <w:suff w:val="nothing"/>
      <w:lvlText w:val="%1、"/>
      <w:lvlJc w:val="left"/>
      <w:rPr>
        <w:rFonts w:hint="eastAsia"/>
      </w:rPr>
    </w:lvl>
  </w:abstractNum>
  <w:abstractNum w:abstractNumId="3">
    <w:nsid w:val="73D75457"/>
    <w:multiLevelType w:val="singleLevel"/>
    <w:tmpl w:val="73D75457"/>
    <w:lvl w:ilvl="0" w:tentative="0">
      <w:start w:val="3"/>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AE48BE"/>
    <w:rsid w:val="000002DA"/>
    <w:rsid w:val="00010663"/>
    <w:rsid w:val="00013C33"/>
    <w:rsid w:val="00014971"/>
    <w:rsid w:val="0002321D"/>
    <w:rsid w:val="00023A3C"/>
    <w:rsid w:val="000247F0"/>
    <w:rsid w:val="00031246"/>
    <w:rsid w:val="00031955"/>
    <w:rsid w:val="000379A8"/>
    <w:rsid w:val="00037AFC"/>
    <w:rsid w:val="00045B6E"/>
    <w:rsid w:val="00054342"/>
    <w:rsid w:val="00056785"/>
    <w:rsid w:val="00056AAE"/>
    <w:rsid w:val="00056BCB"/>
    <w:rsid w:val="00060087"/>
    <w:rsid w:val="00064FF0"/>
    <w:rsid w:val="0006753A"/>
    <w:rsid w:val="00072971"/>
    <w:rsid w:val="00083B59"/>
    <w:rsid w:val="00086CEC"/>
    <w:rsid w:val="000918BC"/>
    <w:rsid w:val="000A475A"/>
    <w:rsid w:val="000A7505"/>
    <w:rsid w:val="000B12B0"/>
    <w:rsid w:val="000C4674"/>
    <w:rsid w:val="000C7C6B"/>
    <w:rsid w:val="000D0542"/>
    <w:rsid w:val="000D4851"/>
    <w:rsid w:val="000D70DA"/>
    <w:rsid w:val="000E03EC"/>
    <w:rsid w:val="000E0B92"/>
    <w:rsid w:val="000E0F16"/>
    <w:rsid w:val="000E49DB"/>
    <w:rsid w:val="000E4D4A"/>
    <w:rsid w:val="000E6279"/>
    <w:rsid w:val="000F2326"/>
    <w:rsid w:val="000F2562"/>
    <w:rsid w:val="000F26C0"/>
    <w:rsid w:val="000F636D"/>
    <w:rsid w:val="001002ED"/>
    <w:rsid w:val="0010046D"/>
    <w:rsid w:val="001017ED"/>
    <w:rsid w:val="00101C01"/>
    <w:rsid w:val="001022AE"/>
    <w:rsid w:val="0010782F"/>
    <w:rsid w:val="00107E7D"/>
    <w:rsid w:val="001231C3"/>
    <w:rsid w:val="001245E1"/>
    <w:rsid w:val="00131C05"/>
    <w:rsid w:val="001353AA"/>
    <w:rsid w:val="00140896"/>
    <w:rsid w:val="00142CBA"/>
    <w:rsid w:val="00152ED3"/>
    <w:rsid w:val="00154674"/>
    <w:rsid w:val="00154D42"/>
    <w:rsid w:val="0016244F"/>
    <w:rsid w:val="00181E34"/>
    <w:rsid w:val="00184B72"/>
    <w:rsid w:val="00184D8B"/>
    <w:rsid w:val="00185648"/>
    <w:rsid w:val="00185954"/>
    <w:rsid w:val="00185CAD"/>
    <w:rsid w:val="00186D22"/>
    <w:rsid w:val="00187348"/>
    <w:rsid w:val="001905D5"/>
    <w:rsid w:val="001959C9"/>
    <w:rsid w:val="001A0A4D"/>
    <w:rsid w:val="001B0F46"/>
    <w:rsid w:val="001B15F5"/>
    <w:rsid w:val="001B316C"/>
    <w:rsid w:val="001B3A36"/>
    <w:rsid w:val="001B5277"/>
    <w:rsid w:val="001C092F"/>
    <w:rsid w:val="001C22C1"/>
    <w:rsid w:val="001C23EC"/>
    <w:rsid w:val="001C3DE8"/>
    <w:rsid w:val="001C3E3E"/>
    <w:rsid w:val="001E0B90"/>
    <w:rsid w:val="001E1900"/>
    <w:rsid w:val="001E24F7"/>
    <w:rsid w:val="001E5153"/>
    <w:rsid w:val="001F1CC0"/>
    <w:rsid w:val="00200631"/>
    <w:rsid w:val="00203CC4"/>
    <w:rsid w:val="0020637B"/>
    <w:rsid w:val="00207E9C"/>
    <w:rsid w:val="0021031C"/>
    <w:rsid w:val="00223639"/>
    <w:rsid w:val="002240D0"/>
    <w:rsid w:val="0022798A"/>
    <w:rsid w:val="00232C04"/>
    <w:rsid w:val="00235EAD"/>
    <w:rsid w:val="0024305D"/>
    <w:rsid w:val="00260F8C"/>
    <w:rsid w:val="002625F4"/>
    <w:rsid w:val="00270852"/>
    <w:rsid w:val="0027504F"/>
    <w:rsid w:val="00275461"/>
    <w:rsid w:val="00275A1A"/>
    <w:rsid w:val="0027771A"/>
    <w:rsid w:val="00277A2B"/>
    <w:rsid w:val="00284749"/>
    <w:rsid w:val="00294287"/>
    <w:rsid w:val="002A1D05"/>
    <w:rsid w:val="002A6095"/>
    <w:rsid w:val="002B1BDB"/>
    <w:rsid w:val="002B2D4F"/>
    <w:rsid w:val="002B6F97"/>
    <w:rsid w:val="002C336C"/>
    <w:rsid w:val="002D26F6"/>
    <w:rsid w:val="002D38AC"/>
    <w:rsid w:val="002D7DCF"/>
    <w:rsid w:val="002E1837"/>
    <w:rsid w:val="002E2A9B"/>
    <w:rsid w:val="002E422F"/>
    <w:rsid w:val="002E6D17"/>
    <w:rsid w:val="002E6DCA"/>
    <w:rsid w:val="002F2F57"/>
    <w:rsid w:val="002F465F"/>
    <w:rsid w:val="00303671"/>
    <w:rsid w:val="003036CE"/>
    <w:rsid w:val="0030738E"/>
    <w:rsid w:val="0031201A"/>
    <w:rsid w:val="0031553B"/>
    <w:rsid w:val="00316844"/>
    <w:rsid w:val="00316F82"/>
    <w:rsid w:val="003200E0"/>
    <w:rsid w:val="0032204F"/>
    <w:rsid w:val="00326D58"/>
    <w:rsid w:val="00331BEC"/>
    <w:rsid w:val="00335A0F"/>
    <w:rsid w:val="0033624F"/>
    <w:rsid w:val="00342F6A"/>
    <w:rsid w:val="0034440B"/>
    <w:rsid w:val="003464F5"/>
    <w:rsid w:val="00346CC4"/>
    <w:rsid w:val="0034757E"/>
    <w:rsid w:val="003505EA"/>
    <w:rsid w:val="00360ACB"/>
    <w:rsid w:val="00360B9F"/>
    <w:rsid w:val="00366222"/>
    <w:rsid w:val="003673D6"/>
    <w:rsid w:val="0037106B"/>
    <w:rsid w:val="003755A0"/>
    <w:rsid w:val="00376B2F"/>
    <w:rsid w:val="00385E17"/>
    <w:rsid w:val="0038788F"/>
    <w:rsid w:val="0039252E"/>
    <w:rsid w:val="00395F7F"/>
    <w:rsid w:val="003A60D6"/>
    <w:rsid w:val="003A62EC"/>
    <w:rsid w:val="003B35E9"/>
    <w:rsid w:val="003B4CEC"/>
    <w:rsid w:val="003C1701"/>
    <w:rsid w:val="003D2C8A"/>
    <w:rsid w:val="003D42EF"/>
    <w:rsid w:val="003D71B3"/>
    <w:rsid w:val="003E3423"/>
    <w:rsid w:val="003F3493"/>
    <w:rsid w:val="003F6BB1"/>
    <w:rsid w:val="003F7503"/>
    <w:rsid w:val="003F7B8D"/>
    <w:rsid w:val="004051D6"/>
    <w:rsid w:val="00405F67"/>
    <w:rsid w:val="00417875"/>
    <w:rsid w:val="00426231"/>
    <w:rsid w:val="004300AC"/>
    <w:rsid w:val="00430733"/>
    <w:rsid w:val="004313A8"/>
    <w:rsid w:val="00442D47"/>
    <w:rsid w:val="004449FB"/>
    <w:rsid w:val="00447C87"/>
    <w:rsid w:val="00452342"/>
    <w:rsid w:val="00453B23"/>
    <w:rsid w:val="00454394"/>
    <w:rsid w:val="00454827"/>
    <w:rsid w:val="004561E9"/>
    <w:rsid w:val="00456D9B"/>
    <w:rsid w:val="0045746A"/>
    <w:rsid w:val="00460FB2"/>
    <w:rsid w:val="004665A5"/>
    <w:rsid w:val="004666E6"/>
    <w:rsid w:val="00470576"/>
    <w:rsid w:val="00471C23"/>
    <w:rsid w:val="00476ED7"/>
    <w:rsid w:val="00484B04"/>
    <w:rsid w:val="004862D1"/>
    <w:rsid w:val="00490382"/>
    <w:rsid w:val="00493EFB"/>
    <w:rsid w:val="00495ED9"/>
    <w:rsid w:val="004A1CC6"/>
    <w:rsid w:val="004A1F14"/>
    <w:rsid w:val="004A4650"/>
    <w:rsid w:val="004B01D6"/>
    <w:rsid w:val="004B747D"/>
    <w:rsid w:val="004C2429"/>
    <w:rsid w:val="004C5094"/>
    <w:rsid w:val="004C5F1E"/>
    <w:rsid w:val="004D3541"/>
    <w:rsid w:val="004E1170"/>
    <w:rsid w:val="004E12D8"/>
    <w:rsid w:val="004E2347"/>
    <w:rsid w:val="004E5447"/>
    <w:rsid w:val="004E6CCC"/>
    <w:rsid w:val="004F10BD"/>
    <w:rsid w:val="004F16D6"/>
    <w:rsid w:val="004F7419"/>
    <w:rsid w:val="0050598B"/>
    <w:rsid w:val="00505C8D"/>
    <w:rsid w:val="00505CB3"/>
    <w:rsid w:val="00507047"/>
    <w:rsid w:val="00512B8B"/>
    <w:rsid w:val="005139EA"/>
    <w:rsid w:val="00513FD8"/>
    <w:rsid w:val="00514679"/>
    <w:rsid w:val="00524312"/>
    <w:rsid w:val="005246B4"/>
    <w:rsid w:val="0053782D"/>
    <w:rsid w:val="00546286"/>
    <w:rsid w:val="00546C19"/>
    <w:rsid w:val="00562A2C"/>
    <w:rsid w:val="0056480C"/>
    <w:rsid w:val="00564858"/>
    <w:rsid w:val="0057240C"/>
    <w:rsid w:val="005739FB"/>
    <w:rsid w:val="00575C3A"/>
    <w:rsid w:val="00593B8F"/>
    <w:rsid w:val="00596F4C"/>
    <w:rsid w:val="005A007F"/>
    <w:rsid w:val="005A1BE5"/>
    <w:rsid w:val="005A2A7B"/>
    <w:rsid w:val="005A3BD0"/>
    <w:rsid w:val="005A3C3C"/>
    <w:rsid w:val="005A79F2"/>
    <w:rsid w:val="005C621E"/>
    <w:rsid w:val="005D781D"/>
    <w:rsid w:val="005E0A43"/>
    <w:rsid w:val="005F2376"/>
    <w:rsid w:val="005F6670"/>
    <w:rsid w:val="005F6CE8"/>
    <w:rsid w:val="00603337"/>
    <w:rsid w:val="006211A0"/>
    <w:rsid w:val="00624005"/>
    <w:rsid w:val="00633D34"/>
    <w:rsid w:val="00634E77"/>
    <w:rsid w:val="00635051"/>
    <w:rsid w:val="0063663E"/>
    <w:rsid w:val="006469F3"/>
    <w:rsid w:val="00647C0F"/>
    <w:rsid w:val="00652B6B"/>
    <w:rsid w:val="00653558"/>
    <w:rsid w:val="00654847"/>
    <w:rsid w:val="00660A53"/>
    <w:rsid w:val="006711C5"/>
    <w:rsid w:val="00675FA9"/>
    <w:rsid w:val="00676F4F"/>
    <w:rsid w:val="006812C8"/>
    <w:rsid w:val="00681F22"/>
    <w:rsid w:val="00684BE6"/>
    <w:rsid w:val="0069074F"/>
    <w:rsid w:val="00694E39"/>
    <w:rsid w:val="0069579F"/>
    <w:rsid w:val="006A0357"/>
    <w:rsid w:val="006A06DF"/>
    <w:rsid w:val="006A20AE"/>
    <w:rsid w:val="006A2609"/>
    <w:rsid w:val="006A36DB"/>
    <w:rsid w:val="006A372D"/>
    <w:rsid w:val="006A3E69"/>
    <w:rsid w:val="006A5259"/>
    <w:rsid w:val="006B0F2E"/>
    <w:rsid w:val="006B410A"/>
    <w:rsid w:val="006C5630"/>
    <w:rsid w:val="006C7B15"/>
    <w:rsid w:val="006D1FD9"/>
    <w:rsid w:val="006D49D6"/>
    <w:rsid w:val="006D659A"/>
    <w:rsid w:val="006E35A1"/>
    <w:rsid w:val="006E3ACC"/>
    <w:rsid w:val="006E41D3"/>
    <w:rsid w:val="006E45E2"/>
    <w:rsid w:val="006F0252"/>
    <w:rsid w:val="006F21B9"/>
    <w:rsid w:val="007016F4"/>
    <w:rsid w:val="00710D0C"/>
    <w:rsid w:val="007248D4"/>
    <w:rsid w:val="00726CA4"/>
    <w:rsid w:val="00727094"/>
    <w:rsid w:val="007276FB"/>
    <w:rsid w:val="007278E9"/>
    <w:rsid w:val="00732E71"/>
    <w:rsid w:val="00732F54"/>
    <w:rsid w:val="00737A28"/>
    <w:rsid w:val="00744F8B"/>
    <w:rsid w:val="007467D5"/>
    <w:rsid w:val="00752AF8"/>
    <w:rsid w:val="00753EE7"/>
    <w:rsid w:val="00754DA7"/>
    <w:rsid w:val="00754E10"/>
    <w:rsid w:val="0077738B"/>
    <w:rsid w:val="00780C62"/>
    <w:rsid w:val="00783992"/>
    <w:rsid w:val="00784A5F"/>
    <w:rsid w:val="00792297"/>
    <w:rsid w:val="007942A6"/>
    <w:rsid w:val="007A084B"/>
    <w:rsid w:val="007A0D24"/>
    <w:rsid w:val="007A496E"/>
    <w:rsid w:val="007B69DF"/>
    <w:rsid w:val="007C1677"/>
    <w:rsid w:val="007D1F69"/>
    <w:rsid w:val="007D5ADC"/>
    <w:rsid w:val="007E057A"/>
    <w:rsid w:val="007F182F"/>
    <w:rsid w:val="007F2998"/>
    <w:rsid w:val="007F51F2"/>
    <w:rsid w:val="007F6C3F"/>
    <w:rsid w:val="00802292"/>
    <w:rsid w:val="00803674"/>
    <w:rsid w:val="0080469C"/>
    <w:rsid w:val="00806947"/>
    <w:rsid w:val="008069E8"/>
    <w:rsid w:val="00811312"/>
    <w:rsid w:val="0081334C"/>
    <w:rsid w:val="00817759"/>
    <w:rsid w:val="0082089C"/>
    <w:rsid w:val="0082760B"/>
    <w:rsid w:val="008331B2"/>
    <w:rsid w:val="008359F2"/>
    <w:rsid w:val="00835DDC"/>
    <w:rsid w:val="00840900"/>
    <w:rsid w:val="00840E98"/>
    <w:rsid w:val="00844BE0"/>
    <w:rsid w:val="00851241"/>
    <w:rsid w:val="00852E7C"/>
    <w:rsid w:val="008604A0"/>
    <w:rsid w:val="00860EAA"/>
    <w:rsid w:val="008644E9"/>
    <w:rsid w:val="00864607"/>
    <w:rsid w:val="00864A12"/>
    <w:rsid w:val="0086794C"/>
    <w:rsid w:val="00880CA9"/>
    <w:rsid w:val="0088792D"/>
    <w:rsid w:val="00892287"/>
    <w:rsid w:val="00893CE0"/>
    <w:rsid w:val="00897F87"/>
    <w:rsid w:val="008A1B58"/>
    <w:rsid w:val="008A396E"/>
    <w:rsid w:val="008A721C"/>
    <w:rsid w:val="008B0946"/>
    <w:rsid w:val="008B0FC8"/>
    <w:rsid w:val="008B5214"/>
    <w:rsid w:val="008C53B8"/>
    <w:rsid w:val="008D129F"/>
    <w:rsid w:val="008D466D"/>
    <w:rsid w:val="008E01D3"/>
    <w:rsid w:val="008E613F"/>
    <w:rsid w:val="008E7265"/>
    <w:rsid w:val="008F3E72"/>
    <w:rsid w:val="008F5767"/>
    <w:rsid w:val="008F599D"/>
    <w:rsid w:val="00904198"/>
    <w:rsid w:val="00905D4A"/>
    <w:rsid w:val="00907B25"/>
    <w:rsid w:val="009167D3"/>
    <w:rsid w:val="00922ED1"/>
    <w:rsid w:val="009257D3"/>
    <w:rsid w:val="00930352"/>
    <w:rsid w:val="00937097"/>
    <w:rsid w:val="00944F91"/>
    <w:rsid w:val="00952806"/>
    <w:rsid w:val="009534AB"/>
    <w:rsid w:val="00954B2E"/>
    <w:rsid w:val="009561E4"/>
    <w:rsid w:val="00956902"/>
    <w:rsid w:val="00963F02"/>
    <w:rsid w:val="00963FC3"/>
    <w:rsid w:val="00964D01"/>
    <w:rsid w:val="00975D66"/>
    <w:rsid w:val="00986545"/>
    <w:rsid w:val="0099465A"/>
    <w:rsid w:val="0099546A"/>
    <w:rsid w:val="00997452"/>
    <w:rsid w:val="009A0242"/>
    <w:rsid w:val="009B12E6"/>
    <w:rsid w:val="009C6A23"/>
    <w:rsid w:val="009C6DEE"/>
    <w:rsid w:val="009C799F"/>
    <w:rsid w:val="009D129C"/>
    <w:rsid w:val="009D37FE"/>
    <w:rsid w:val="009D3908"/>
    <w:rsid w:val="009D62C8"/>
    <w:rsid w:val="009E3A84"/>
    <w:rsid w:val="009E3E64"/>
    <w:rsid w:val="009E751C"/>
    <w:rsid w:val="009F0976"/>
    <w:rsid w:val="009F0E31"/>
    <w:rsid w:val="00A00108"/>
    <w:rsid w:val="00A00BF1"/>
    <w:rsid w:val="00A02690"/>
    <w:rsid w:val="00A039FE"/>
    <w:rsid w:val="00A1034B"/>
    <w:rsid w:val="00A1228C"/>
    <w:rsid w:val="00A139BB"/>
    <w:rsid w:val="00A146AE"/>
    <w:rsid w:val="00A20874"/>
    <w:rsid w:val="00A22F07"/>
    <w:rsid w:val="00A25D87"/>
    <w:rsid w:val="00A26F59"/>
    <w:rsid w:val="00A31035"/>
    <w:rsid w:val="00A35EA9"/>
    <w:rsid w:val="00A36F6B"/>
    <w:rsid w:val="00A47EC2"/>
    <w:rsid w:val="00A517B2"/>
    <w:rsid w:val="00A563FF"/>
    <w:rsid w:val="00A56D49"/>
    <w:rsid w:val="00A625BD"/>
    <w:rsid w:val="00A63623"/>
    <w:rsid w:val="00A74CE9"/>
    <w:rsid w:val="00A90552"/>
    <w:rsid w:val="00A917A0"/>
    <w:rsid w:val="00A976C0"/>
    <w:rsid w:val="00AA25E1"/>
    <w:rsid w:val="00AA6330"/>
    <w:rsid w:val="00AB2615"/>
    <w:rsid w:val="00AB2EAF"/>
    <w:rsid w:val="00AC015B"/>
    <w:rsid w:val="00AC02DB"/>
    <w:rsid w:val="00AC63E3"/>
    <w:rsid w:val="00AC7F82"/>
    <w:rsid w:val="00AD32D6"/>
    <w:rsid w:val="00AD5512"/>
    <w:rsid w:val="00AD6041"/>
    <w:rsid w:val="00AE7D2D"/>
    <w:rsid w:val="00AF414F"/>
    <w:rsid w:val="00B0271C"/>
    <w:rsid w:val="00B042B6"/>
    <w:rsid w:val="00B05603"/>
    <w:rsid w:val="00B13C5E"/>
    <w:rsid w:val="00B14411"/>
    <w:rsid w:val="00B14482"/>
    <w:rsid w:val="00B1744E"/>
    <w:rsid w:val="00B21D26"/>
    <w:rsid w:val="00B23E39"/>
    <w:rsid w:val="00B25B52"/>
    <w:rsid w:val="00B26747"/>
    <w:rsid w:val="00B3319D"/>
    <w:rsid w:val="00B33942"/>
    <w:rsid w:val="00B3703D"/>
    <w:rsid w:val="00B37EBD"/>
    <w:rsid w:val="00B41880"/>
    <w:rsid w:val="00B5109A"/>
    <w:rsid w:val="00B52856"/>
    <w:rsid w:val="00B5338B"/>
    <w:rsid w:val="00B71E6E"/>
    <w:rsid w:val="00B71EED"/>
    <w:rsid w:val="00B768E9"/>
    <w:rsid w:val="00B769A4"/>
    <w:rsid w:val="00B829B3"/>
    <w:rsid w:val="00B839D4"/>
    <w:rsid w:val="00B851A4"/>
    <w:rsid w:val="00B91D4A"/>
    <w:rsid w:val="00BA1B57"/>
    <w:rsid w:val="00BA2075"/>
    <w:rsid w:val="00BB136F"/>
    <w:rsid w:val="00BB4553"/>
    <w:rsid w:val="00BB46C0"/>
    <w:rsid w:val="00BC208B"/>
    <w:rsid w:val="00BC2209"/>
    <w:rsid w:val="00BC48D1"/>
    <w:rsid w:val="00BC7FF4"/>
    <w:rsid w:val="00BD0736"/>
    <w:rsid w:val="00BD08F5"/>
    <w:rsid w:val="00BD3BA6"/>
    <w:rsid w:val="00BD46D9"/>
    <w:rsid w:val="00BE24AE"/>
    <w:rsid w:val="00BE5D4B"/>
    <w:rsid w:val="00BE6FD3"/>
    <w:rsid w:val="00BE78F4"/>
    <w:rsid w:val="00BF66BA"/>
    <w:rsid w:val="00BF77B0"/>
    <w:rsid w:val="00C0199A"/>
    <w:rsid w:val="00C029D9"/>
    <w:rsid w:val="00C035A9"/>
    <w:rsid w:val="00C2370E"/>
    <w:rsid w:val="00C237C3"/>
    <w:rsid w:val="00C278BB"/>
    <w:rsid w:val="00C30F55"/>
    <w:rsid w:val="00C320F3"/>
    <w:rsid w:val="00C322B7"/>
    <w:rsid w:val="00C40FF2"/>
    <w:rsid w:val="00C4376F"/>
    <w:rsid w:val="00C437D4"/>
    <w:rsid w:val="00C53FB1"/>
    <w:rsid w:val="00C55E50"/>
    <w:rsid w:val="00C5710B"/>
    <w:rsid w:val="00C67484"/>
    <w:rsid w:val="00C73623"/>
    <w:rsid w:val="00C74C2B"/>
    <w:rsid w:val="00C80113"/>
    <w:rsid w:val="00C81F34"/>
    <w:rsid w:val="00C83617"/>
    <w:rsid w:val="00C84340"/>
    <w:rsid w:val="00C9483E"/>
    <w:rsid w:val="00C9542A"/>
    <w:rsid w:val="00CA1C88"/>
    <w:rsid w:val="00CB1586"/>
    <w:rsid w:val="00CB52A5"/>
    <w:rsid w:val="00CC3F60"/>
    <w:rsid w:val="00CD143F"/>
    <w:rsid w:val="00CD19D2"/>
    <w:rsid w:val="00CD2F76"/>
    <w:rsid w:val="00CD404C"/>
    <w:rsid w:val="00CE3DA8"/>
    <w:rsid w:val="00CF4260"/>
    <w:rsid w:val="00D07308"/>
    <w:rsid w:val="00D07722"/>
    <w:rsid w:val="00D14ED4"/>
    <w:rsid w:val="00D212A5"/>
    <w:rsid w:val="00D27B2D"/>
    <w:rsid w:val="00D32EA2"/>
    <w:rsid w:val="00D3663A"/>
    <w:rsid w:val="00D43F15"/>
    <w:rsid w:val="00D44F3B"/>
    <w:rsid w:val="00D457E1"/>
    <w:rsid w:val="00D51BC5"/>
    <w:rsid w:val="00D5493A"/>
    <w:rsid w:val="00D6014F"/>
    <w:rsid w:val="00D610AF"/>
    <w:rsid w:val="00D62398"/>
    <w:rsid w:val="00D62513"/>
    <w:rsid w:val="00D77F96"/>
    <w:rsid w:val="00D77F9D"/>
    <w:rsid w:val="00D82001"/>
    <w:rsid w:val="00D90B9B"/>
    <w:rsid w:val="00D93E09"/>
    <w:rsid w:val="00D975BC"/>
    <w:rsid w:val="00D9778F"/>
    <w:rsid w:val="00DA5A75"/>
    <w:rsid w:val="00DB0F3A"/>
    <w:rsid w:val="00DB7639"/>
    <w:rsid w:val="00DB78CD"/>
    <w:rsid w:val="00DC6AA8"/>
    <w:rsid w:val="00DE4FC6"/>
    <w:rsid w:val="00DF0598"/>
    <w:rsid w:val="00DF2E4B"/>
    <w:rsid w:val="00DF343C"/>
    <w:rsid w:val="00DF6ABE"/>
    <w:rsid w:val="00E040EB"/>
    <w:rsid w:val="00E07CDB"/>
    <w:rsid w:val="00E10A89"/>
    <w:rsid w:val="00E20319"/>
    <w:rsid w:val="00E238FE"/>
    <w:rsid w:val="00E23CEE"/>
    <w:rsid w:val="00E260F4"/>
    <w:rsid w:val="00E26173"/>
    <w:rsid w:val="00E300A8"/>
    <w:rsid w:val="00E322E9"/>
    <w:rsid w:val="00E3446F"/>
    <w:rsid w:val="00E35D6A"/>
    <w:rsid w:val="00E37CAC"/>
    <w:rsid w:val="00E40493"/>
    <w:rsid w:val="00E444F1"/>
    <w:rsid w:val="00E45760"/>
    <w:rsid w:val="00E45ADA"/>
    <w:rsid w:val="00E46656"/>
    <w:rsid w:val="00E47A27"/>
    <w:rsid w:val="00E56CC4"/>
    <w:rsid w:val="00E61704"/>
    <w:rsid w:val="00E63D54"/>
    <w:rsid w:val="00E7024D"/>
    <w:rsid w:val="00E74FF9"/>
    <w:rsid w:val="00E76E3E"/>
    <w:rsid w:val="00E774DE"/>
    <w:rsid w:val="00E814BD"/>
    <w:rsid w:val="00E8199F"/>
    <w:rsid w:val="00E81AF5"/>
    <w:rsid w:val="00E81FBD"/>
    <w:rsid w:val="00E869B9"/>
    <w:rsid w:val="00E875D1"/>
    <w:rsid w:val="00E87C90"/>
    <w:rsid w:val="00E91A01"/>
    <w:rsid w:val="00ED0529"/>
    <w:rsid w:val="00ED3D9E"/>
    <w:rsid w:val="00EE0E4B"/>
    <w:rsid w:val="00EE1168"/>
    <w:rsid w:val="00EE1E22"/>
    <w:rsid w:val="00EE26B3"/>
    <w:rsid w:val="00EE37AA"/>
    <w:rsid w:val="00EE475F"/>
    <w:rsid w:val="00EE4EA9"/>
    <w:rsid w:val="00EF5C43"/>
    <w:rsid w:val="00F01A22"/>
    <w:rsid w:val="00F03974"/>
    <w:rsid w:val="00F04867"/>
    <w:rsid w:val="00F11F1E"/>
    <w:rsid w:val="00F30ACD"/>
    <w:rsid w:val="00F31D9C"/>
    <w:rsid w:val="00F32922"/>
    <w:rsid w:val="00F340F1"/>
    <w:rsid w:val="00F34F6C"/>
    <w:rsid w:val="00F44C3F"/>
    <w:rsid w:val="00F525DE"/>
    <w:rsid w:val="00F62EE1"/>
    <w:rsid w:val="00F72080"/>
    <w:rsid w:val="00F73D1F"/>
    <w:rsid w:val="00F746EA"/>
    <w:rsid w:val="00F80C26"/>
    <w:rsid w:val="00F85CB4"/>
    <w:rsid w:val="00F86586"/>
    <w:rsid w:val="00F90D45"/>
    <w:rsid w:val="00F91DB9"/>
    <w:rsid w:val="00F958FB"/>
    <w:rsid w:val="00F964BE"/>
    <w:rsid w:val="00FA0AFD"/>
    <w:rsid w:val="00FA5190"/>
    <w:rsid w:val="00FA6F70"/>
    <w:rsid w:val="00FB336B"/>
    <w:rsid w:val="00FB66EF"/>
    <w:rsid w:val="00FB6749"/>
    <w:rsid w:val="00FC0576"/>
    <w:rsid w:val="00FC59F6"/>
    <w:rsid w:val="00FC795B"/>
    <w:rsid w:val="00FD22B3"/>
    <w:rsid w:val="00FD3394"/>
    <w:rsid w:val="00FD3EB5"/>
    <w:rsid w:val="00FD5269"/>
    <w:rsid w:val="00FE0509"/>
    <w:rsid w:val="00FE182E"/>
    <w:rsid w:val="00FE27C1"/>
    <w:rsid w:val="00FE317D"/>
    <w:rsid w:val="00FE49C2"/>
    <w:rsid w:val="00FE547B"/>
    <w:rsid w:val="00FF1094"/>
    <w:rsid w:val="00FF473A"/>
    <w:rsid w:val="00FF781E"/>
    <w:rsid w:val="03FB258C"/>
    <w:rsid w:val="05552C82"/>
    <w:rsid w:val="06F22694"/>
    <w:rsid w:val="07787854"/>
    <w:rsid w:val="07976DDA"/>
    <w:rsid w:val="09577B91"/>
    <w:rsid w:val="0C2027DD"/>
    <w:rsid w:val="0D477751"/>
    <w:rsid w:val="0D4B4B17"/>
    <w:rsid w:val="0DAE6959"/>
    <w:rsid w:val="0E517D9B"/>
    <w:rsid w:val="0EE560AD"/>
    <w:rsid w:val="0F0160EF"/>
    <w:rsid w:val="10E45B35"/>
    <w:rsid w:val="10F13F8F"/>
    <w:rsid w:val="129F04C2"/>
    <w:rsid w:val="13593EAD"/>
    <w:rsid w:val="139A10C2"/>
    <w:rsid w:val="13C85980"/>
    <w:rsid w:val="13DE2EA1"/>
    <w:rsid w:val="150544BC"/>
    <w:rsid w:val="17400638"/>
    <w:rsid w:val="17BC0291"/>
    <w:rsid w:val="19204015"/>
    <w:rsid w:val="1BA547F4"/>
    <w:rsid w:val="1BF5362C"/>
    <w:rsid w:val="1C573991"/>
    <w:rsid w:val="1CEF59DE"/>
    <w:rsid w:val="1D4B7ED7"/>
    <w:rsid w:val="1DDB2631"/>
    <w:rsid w:val="1DF83FD1"/>
    <w:rsid w:val="1E6857A7"/>
    <w:rsid w:val="1E9E6D19"/>
    <w:rsid w:val="1ED41661"/>
    <w:rsid w:val="2038774B"/>
    <w:rsid w:val="21692493"/>
    <w:rsid w:val="223C66C8"/>
    <w:rsid w:val="22896D2E"/>
    <w:rsid w:val="22F42933"/>
    <w:rsid w:val="23FA417C"/>
    <w:rsid w:val="2573633E"/>
    <w:rsid w:val="25D7746B"/>
    <w:rsid w:val="279D6DB8"/>
    <w:rsid w:val="27B94C64"/>
    <w:rsid w:val="27D31783"/>
    <w:rsid w:val="28B43F29"/>
    <w:rsid w:val="28F6025A"/>
    <w:rsid w:val="29E452D6"/>
    <w:rsid w:val="2A7904E6"/>
    <w:rsid w:val="2A8E0BF9"/>
    <w:rsid w:val="2B950DDB"/>
    <w:rsid w:val="2BA00F7A"/>
    <w:rsid w:val="2C1C02DD"/>
    <w:rsid w:val="2C6D24B9"/>
    <w:rsid w:val="2C717613"/>
    <w:rsid w:val="2C824D68"/>
    <w:rsid w:val="2D57360B"/>
    <w:rsid w:val="2E8C6878"/>
    <w:rsid w:val="2FDE4D46"/>
    <w:rsid w:val="30507078"/>
    <w:rsid w:val="309554D0"/>
    <w:rsid w:val="317B0D40"/>
    <w:rsid w:val="32005602"/>
    <w:rsid w:val="32BC6D24"/>
    <w:rsid w:val="330E0D39"/>
    <w:rsid w:val="33C80304"/>
    <w:rsid w:val="341047CB"/>
    <w:rsid w:val="3467384C"/>
    <w:rsid w:val="35E25613"/>
    <w:rsid w:val="36532AAA"/>
    <w:rsid w:val="38166822"/>
    <w:rsid w:val="382165AE"/>
    <w:rsid w:val="384F0050"/>
    <w:rsid w:val="39500581"/>
    <w:rsid w:val="398A48E3"/>
    <w:rsid w:val="3A126518"/>
    <w:rsid w:val="3A856D93"/>
    <w:rsid w:val="3C91245F"/>
    <w:rsid w:val="3C9E681E"/>
    <w:rsid w:val="3E2A51F0"/>
    <w:rsid w:val="3F050F23"/>
    <w:rsid w:val="3FD547B4"/>
    <w:rsid w:val="40B24624"/>
    <w:rsid w:val="41D0766B"/>
    <w:rsid w:val="41E905DB"/>
    <w:rsid w:val="426F3662"/>
    <w:rsid w:val="434B0295"/>
    <w:rsid w:val="434E4C33"/>
    <w:rsid w:val="45CD4627"/>
    <w:rsid w:val="45D757EE"/>
    <w:rsid w:val="46000904"/>
    <w:rsid w:val="464C4127"/>
    <w:rsid w:val="47343101"/>
    <w:rsid w:val="477459D5"/>
    <w:rsid w:val="477A42A5"/>
    <w:rsid w:val="47965A0F"/>
    <w:rsid w:val="48966689"/>
    <w:rsid w:val="4A427942"/>
    <w:rsid w:val="4B4F6A6B"/>
    <w:rsid w:val="4C437D5F"/>
    <w:rsid w:val="4CA114A1"/>
    <w:rsid w:val="4D1C7A42"/>
    <w:rsid w:val="4D6D7A68"/>
    <w:rsid w:val="503D156B"/>
    <w:rsid w:val="507B2BDF"/>
    <w:rsid w:val="51355481"/>
    <w:rsid w:val="524E4864"/>
    <w:rsid w:val="52CD2441"/>
    <w:rsid w:val="53052414"/>
    <w:rsid w:val="54D553CE"/>
    <w:rsid w:val="54FC409C"/>
    <w:rsid w:val="55F91172"/>
    <w:rsid w:val="573F0F18"/>
    <w:rsid w:val="57CF764B"/>
    <w:rsid w:val="57DB2901"/>
    <w:rsid w:val="59BD4349"/>
    <w:rsid w:val="59F22C5F"/>
    <w:rsid w:val="5A667001"/>
    <w:rsid w:val="5AAA2F36"/>
    <w:rsid w:val="5B925800"/>
    <w:rsid w:val="5BCF4055"/>
    <w:rsid w:val="5C3D018E"/>
    <w:rsid w:val="5CF932D2"/>
    <w:rsid w:val="5D4D2100"/>
    <w:rsid w:val="5DCE5305"/>
    <w:rsid w:val="5E5A2BA0"/>
    <w:rsid w:val="5FAB3444"/>
    <w:rsid w:val="5FAE48BE"/>
    <w:rsid w:val="5FB86FB0"/>
    <w:rsid w:val="5FF55D7D"/>
    <w:rsid w:val="61202F72"/>
    <w:rsid w:val="61C06D06"/>
    <w:rsid w:val="6402426E"/>
    <w:rsid w:val="66B02688"/>
    <w:rsid w:val="67912C3F"/>
    <w:rsid w:val="683744EC"/>
    <w:rsid w:val="6913051D"/>
    <w:rsid w:val="693D49EA"/>
    <w:rsid w:val="69CB238F"/>
    <w:rsid w:val="6A1471CF"/>
    <w:rsid w:val="6AAA4AD1"/>
    <w:rsid w:val="6AE23171"/>
    <w:rsid w:val="6BA86242"/>
    <w:rsid w:val="6C7E4B9A"/>
    <w:rsid w:val="6C7F0805"/>
    <w:rsid w:val="6D6D067D"/>
    <w:rsid w:val="6D791040"/>
    <w:rsid w:val="6D8C099C"/>
    <w:rsid w:val="6E23278C"/>
    <w:rsid w:val="6EF22262"/>
    <w:rsid w:val="6FD00FAB"/>
    <w:rsid w:val="70274BC7"/>
    <w:rsid w:val="71BA5843"/>
    <w:rsid w:val="72904DBD"/>
    <w:rsid w:val="75540F42"/>
    <w:rsid w:val="75677631"/>
    <w:rsid w:val="763D16B7"/>
    <w:rsid w:val="780905C4"/>
    <w:rsid w:val="7811502E"/>
    <w:rsid w:val="78531C8D"/>
    <w:rsid w:val="786B7751"/>
    <w:rsid w:val="7903696E"/>
    <w:rsid w:val="7A4D4A06"/>
    <w:rsid w:val="7AFB6D35"/>
    <w:rsid w:val="7B305627"/>
    <w:rsid w:val="7CDF5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0"/>
    <w:qFormat/>
    <w:uiPriority w:val="9"/>
    <w:pPr>
      <w:spacing w:beforeAutospacing="1" w:afterAutospacing="1"/>
      <w:jc w:val="left"/>
      <w:outlineLvl w:val="0"/>
    </w:pPr>
    <w:rPr>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caption"/>
    <w:basedOn w:val="1"/>
    <w:next w:val="1"/>
    <w:unhideWhenUsed/>
    <w:qFormat/>
    <w:locked/>
    <w:uiPriority w:val="0"/>
    <w:rPr>
      <w:rFonts w:eastAsia="黑体" w:asciiTheme="majorHAnsi" w:hAnsiTheme="majorHAnsi" w:cstheme="majorBidi"/>
      <w:sz w:val="20"/>
      <w:szCs w:val="20"/>
    </w:rPr>
  </w:style>
  <w:style w:type="paragraph" w:styleId="4">
    <w:name w:val="Date"/>
    <w:basedOn w:val="1"/>
    <w:next w:val="1"/>
    <w:link w:val="22"/>
    <w:semiHidden/>
    <w:unhideWhenUsed/>
    <w:qFormat/>
    <w:uiPriority w:val="99"/>
    <w:pPr>
      <w:ind w:left="100" w:leftChars="2500"/>
    </w:pPr>
  </w:style>
  <w:style w:type="paragraph" w:styleId="5">
    <w:name w:val="Balloon Text"/>
    <w:basedOn w:val="1"/>
    <w:link w:val="17"/>
    <w:qFormat/>
    <w:uiPriority w:val="99"/>
    <w:rPr>
      <w:sz w:val="18"/>
      <w:szCs w:val="18"/>
    </w:r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link w:val="19"/>
    <w:qFormat/>
    <w:uiPriority w:val="99"/>
    <w:pPr>
      <w:pBdr>
        <w:bottom w:val="single" w:color="auto" w:sz="6" w:space="6"/>
      </w:pBdr>
      <w:tabs>
        <w:tab w:val="center" w:pos="4153"/>
        <w:tab w:val="right" w:pos="8306"/>
      </w:tabs>
      <w:snapToGrid w:val="0"/>
      <w:jc w:val="left"/>
    </w:pPr>
    <w:rPr>
      <w:sz w:val="15"/>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1">
    <w:name w:val="Strong"/>
    <w:qFormat/>
    <w:uiPriority w:val="0"/>
    <w:rPr>
      <w:rFonts w:cs="Times New Roman"/>
      <w:b/>
    </w:rPr>
  </w:style>
  <w:style w:type="character" w:styleId="12">
    <w:name w:val="Emphasis"/>
    <w:qFormat/>
    <w:uiPriority w:val="99"/>
    <w:rPr>
      <w:rFonts w:cs="Times New Roman"/>
      <w:i/>
    </w:rPr>
  </w:style>
  <w:style w:type="character" w:styleId="13">
    <w:name w:val="Hyperlink"/>
    <w:basedOn w:val="10"/>
    <w:qFormat/>
    <w:uiPriority w:val="99"/>
    <w:rPr>
      <w:rFonts w:ascii="宋体" w:hAnsi="宋体" w:eastAsia="宋体" w:cs="宋体"/>
      <w:color w:val="3D3D3D"/>
      <w:u w:val="none"/>
    </w:rPr>
  </w:style>
  <w:style w:type="character" w:customStyle="1" w:styleId="14">
    <w:name w:val="访问过的超链接1"/>
    <w:qFormat/>
    <w:uiPriority w:val="99"/>
    <w:rPr>
      <w:rFonts w:ascii="宋体" w:hAnsi="宋体" w:eastAsia="宋体" w:cs="宋体"/>
      <w:color w:val="3D3D3D"/>
      <w:u w:val="none"/>
    </w:rPr>
  </w:style>
  <w:style w:type="character" w:customStyle="1" w:styleId="15">
    <w:name w:val="无间隔 字符"/>
    <w:link w:val="16"/>
    <w:qFormat/>
    <w:uiPriority w:val="1"/>
    <w:rPr>
      <w:rFonts w:ascii="Goudy Old Style" w:hAnsi="Goudy Old Style"/>
      <w:sz w:val="22"/>
      <w:szCs w:val="22"/>
      <w:lang w:val="en-US" w:eastAsia="zh-CN" w:bidi="ar-SA"/>
    </w:rPr>
  </w:style>
  <w:style w:type="paragraph" w:styleId="16">
    <w:name w:val="No Spacing"/>
    <w:link w:val="15"/>
    <w:qFormat/>
    <w:uiPriority w:val="1"/>
    <w:rPr>
      <w:rFonts w:ascii="Goudy Old Style" w:hAnsi="Goudy Old Style" w:eastAsia="宋体" w:cs="Times New Roman"/>
      <w:sz w:val="22"/>
      <w:szCs w:val="22"/>
      <w:lang w:val="en-US" w:eastAsia="zh-CN" w:bidi="ar-SA"/>
    </w:rPr>
  </w:style>
  <w:style w:type="character" w:customStyle="1" w:styleId="17">
    <w:name w:val="批注框文本 字符"/>
    <w:link w:val="5"/>
    <w:qFormat/>
    <w:locked/>
    <w:uiPriority w:val="99"/>
    <w:rPr>
      <w:rFonts w:ascii="Calibri" w:hAnsi="Calibri" w:eastAsia="宋体" w:cs="Times New Roman"/>
      <w:kern w:val="2"/>
      <w:sz w:val="18"/>
      <w:szCs w:val="18"/>
    </w:rPr>
  </w:style>
  <w:style w:type="character" w:customStyle="1" w:styleId="18">
    <w:name w:val="页脚 字符"/>
    <w:link w:val="6"/>
    <w:qFormat/>
    <w:locked/>
    <w:uiPriority w:val="99"/>
    <w:rPr>
      <w:rFonts w:ascii="Calibri" w:hAnsi="Calibri" w:eastAsia="宋体" w:cs="Times New Roman"/>
      <w:kern w:val="2"/>
      <w:sz w:val="18"/>
      <w:szCs w:val="18"/>
    </w:rPr>
  </w:style>
  <w:style w:type="character" w:customStyle="1" w:styleId="19">
    <w:name w:val="页眉 字符"/>
    <w:link w:val="7"/>
    <w:qFormat/>
    <w:locked/>
    <w:uiPriority w:val="99"/>
    <w:rPr>
      <w:rFonts w:ascii="Calibri" w:hAnsi="Calibri"/>
      <w:kern w:val="2"/>
      <w:sz w:val="15"/>
      <w:szCs w:val="18"/>
    </w:rPr>
  </w:style>
  <w:style w:type="character" w:customStyle="1" w:styleId="20">
    <w:name w:val="标题 1 字符"/>
    <w:link w:val="2"/>
    <w:qFormat/>
    <w:uiPriority w:val="9"/>
    <w:rPr>
      <w:rFonts w:ascii="Calibri" w:hAnsi="Calibri"/>
      <w:b/>
      <w:bCs/>
      <w:kern w:val="44"/>
      <w:sz w:val="44"/>
      <w:szCs w:val="44"/>
    </w:rPr>
  </w:style>
  <w:style w:type="paragraph" w:styleId="21">
    <w:name w:val="List Paragraph"/>
    <w:basedOn w:val="1"/>
    <w:qFormat/>
    <w:uiPriority w:val="99"/>
    <w:pPr>
      <w:ind w:firstLine="420" w:firstLineChars="200"/>
    </w:pPr>
  </w:style>
  <w:style w:type="character" w:customStyle="1" w:styleId="22">
    <w:name w:val="日期 字符"/>
    <w:basedOn w:val="10"/>
    <w:link w:val="4"/>
    <w:semiHidden/>
    <w:qFormat/>
    <w:uiPriority w:val="99"/>
    <w:rPr>
      <w:rFonts w:ascii="Calibri" w:hAnsi="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chart" Target="charts/chart3.xml"/><Relationship Id="rId57" Type="http://schemas.openxmlformats.org/officeDocument/2006/relationships/chart" Target="charts/chart2.xml"/><Relationship Id="rId56" Type="http://schemas.openxmlformats.org/officeDocument/2006/relationships/image" Target="media/image47.png"/><Relationship Id="rId55" Type="http://schemas.openxmlformats.org/officeDocument/2006/relationships/chart" Target="charts/chart1.xml"/><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emf"/><Relationship Id="rId24" Type="http://schemas.openxmlformats.org/officeDocument/2006/relationships/oleObject" Target="embeddings/oleObject1.bin"/><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j-ea"/>
                <a:ea typeface="+mj-ea"/>
              </a:rPr>
              <a:t>政府信息公开申请数量变化图</a:t>
            </a:r>
            <a:endParaRPr b="1">
              <a:latin typeface="+mj-ea"/>
              <a:ea typeface="+mj-ea"/>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2018年</c:v>
                </c:pt>
              </c:strCache>
            </c:strRef>
          </c:tx>
          <c:spPr>
            <a:solidFill>
              <a:schemeClr val="accent1"/>
            </a:solidFill>
            <a:ln>
              <a:noFill/>
            </a:ln>
            <a:effectLst/>
          </c:spPr>
          <c:invertIfNegative val="0"/>
          <c:dLbls>
            <c:delete val="1"/>
          </c:dLbls>
          <c:cat>
            <c:strRef>
              <c:f>Sheet1!$A$2:$A$4</c:f>
              <c:strCache>
                <c:ptCount val="3"/>
                <c:pt idx="0">
                  <c:v>全市申请数量</c:v>
                </c:pt>
                <c:pt idx="1">
                  <c:v>市政府及其部门申请数量</c:v>
                </c:pt>
                <c:pt idx="2">
                  <c:v>区县及以下申请数量</c:v>
                </c:pt>
              </c:strCache>
            </c:strRef>
          </c:cat>
          <c:val>
            <c:numRef>
              <c:f>Sheet1!$B$2:$B$4</c:f>
              <c:numCache>
                <c:formatCode>General</c:formatCode>
                <c:ptCount val="3"/>
                <c:pt idx="0">
                  <c:v>1025</c:v>
                </c:pt>
                <c:pt idx="1">
                  <c:v>345</c:v>
                </c:pt>
                <c:pt idx="2">
                  <c:v>680</c:v>
                </c:pt>
              </c:numCache>
            </c:numRef>
          </c:val>
        </c:ser>
        <c:ser>
          <c:idx val="1"/>
          <c:order val="1"/>
          <c:tx>
            <c:strRef>
              <c:f>Sheet1!$C$1</c:f>
              <c:strCache>
                <c:ptCount val="1"/>
                <c:pt idx="0">
                  <c:v>2017年</c:v>
                </c:pt>
              </c:strCache>
            </c:strRef>
          </c:tx>
          <c:spPr>
            <a:solidFill>
              <a:schemeClr val="accent2"/>
            </a:solidFill>
            <a:ln>
              <a:noFill/>
            </a:ln>
            <a:effectLst/>
          </c:spPr>
          <c:invertIfNegative val="0"/>
          <c:dLbls>
            <c:delete val="1"/>
          </c:dLbls>
          <c:cat>
            <c:strRef>
              <c:f>Sheet1!$A$2:$A$4</c:f>
              <c:strCache>
                <c:ptCount val="3"/>
                <c:pt idx="0">
                  <c:v>全市申请数量</c:v>
                </c:pt>
                <c:pt idx="1">
                  <c:v>市政府及其部门申请数量</c:v>
                </c:pt>
                <c:pt idx="2">
                  <c:v>区县及以下申请数量</c:v>
                </c:pt>
              </c:strCache>
            </c:strRef>
          </c:cat>
          <c:val>
            <c:numRef>
              <c:f>Sheet1!$C$2:$C$4</c:f>
              <c:numCache>
                <c:formatCode>General</c:formatCode>
                <c:ptCount val="3"/>
                <c:pt idx="0">
                  <c:v>1416</c:v>
                </c:pt>
                <c:pt idx="1">
                  <c:v>488</c:v>
                </c:pt>
                <c:pt idx="2">
                  <c:v>928</c:v>
                </c:pt>
              </c:numCache>
            </c:numRef>
          </c:val>
        </c:ser>
        <c:ser>
          <c:idx val="2"/>
          <c:order val="2"/>
          <c:tx>
            <c:strRef>
              <c:f>Sheet1!$D$1</c:f>
              <c:strCache>
                <c:ptCount val="1"/>
                <c:pt idx="0">
                  <c:v>2016年</c:v>
                </c:pt>
              </c:strCache>
            </c:strRef>
          </c:tx>
          <c:spPr>
            <a:solidFill>
              <a:schemeClr val="accent3"/>
            </a:solidFill>
            <a:ln>
              <a:noFill/>
            </a:ln>
            <a:effectLst/>
          </c:spPr>
          <c:invertIfNegative val="0"/>
          <c:dLbls>
            <c:delete val="1"/>
          </c:dLbls>
          <c:cat>
            <c:strRef>
              <c:f>Sheet1!$A$2:$A$4</c:f>
              <c:strCache>
                <c:ptCount val="3"/>
                <c:pt idx="0">
                  <c:v>全市申请数量</c:v>
                </c:pt>
                <c:pt idx="1">
                  <c:v>市政府及其部门申请数量</c:v>
                </c:pt>
                <c:pt idx="2">
                  <c:v>区县及以下申请数量</c:v>
                </c:pt>
              </c:strCache>
            </c:strRef>
          </c:cat>
          <c:val>
            <c:numRef>
              <c:f>Sheet1!$D$2:$D$4</c:f>
              <c:numCache>
                <c:formatCode>General</c:formatCode>
                <c:ptCount val="3"/>
                <c:pt idx="0">
                  <c:v>555</c:v>
                </c:pt>
                <c:pt idx="1">
                  <c:v>230</c:v>
                </c:pt>
                <c:pt idx="2">
                  <c:v>325</c:v>
                </c:pt>
              </c:numCache>
            </c:numRef>
          </c:val>
        </c:ser>
        <c:dLbls>
          <c:showLegendKey val="0"/>
          <c:showVal val="0"/>
          <c:showCatName val="0"/>
          <c:showSerName val="0"/>
          <c:showPercent val="0"/>
          <c:showBubbleSize val="0"/>
        </c:dLbls>
        <c:gapWidth val="219"/>
        <c:overlap val="-27"/>
        <c:axId val="512338799"/>
        <c:axId val="374853239"/>
      </c:barChart>
      <c:catAx>
        <c:axId val="51233879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4853239"/>
        <c:crosses val="autoZero"/>
        <c:auto val="1"/>
        <c:lblAlgn val="ctr"/>
        <c:lblOffset val="100"/>
        <c:noMultiLvlLbl val="0"/>
      </c:catAx>
      <c:valAx>
        <c:axId val="374853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233879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thickThin" algn="ctr">
      <a:solidFill>
        <a:schemeClr val="accent1"/>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j-ea"/>
                <a:ea typeface="+mj-ea"/>
              </a:rPr>
              <a:t>政府信息公开行政复议情况</a:t>
            </a:r>
            <a:endParaRPr b="1">
              <a:latin typeface="+mj-ea"/>
              <a:ea typeface="+mj-ea"/>
            </a:endParaRPr>
          </a:p>
        </c:rich>
      </c:tx>
      <c:layout/>
      <c:overlay val="0"/>
      <c:spPr>
        <a:noFill/>
        <a:ln>
          <a:noFill/>
        </a:ln>
        <a:effectLst/>
      </c:spPr>
    </c:title>
    <c:autoTitleDeleted val="0"/>
    <c:plotArea>
      <c:layout>
        <c:manualLayout>
          <c:layoutTarget val="inner"/>
          <c:xMode val="edge"/>
          <c:yMode val="edge"/>
          <c:x val="0.273414950308624"/>
          <c:y val="0.137604878780768"/>
          <c:w val="0.521389606660924"/>
          <c:h val="0.716794947700809"/>
        </c:manualLayout>
      </c:layout>
      <c:doughnutChart>
        <c:varyColors val="1"/>
        <c:ser>
          <c:idx val="0"/>
          <c:order val="0"/>
          <c:tx>
            <c:strRef>
              <c:f>Sheet1!$B$1</c:f>
              <c:strCache>
                <c:ptCount val="1"/>
                <c:pt idx="0">
                  <c:v>政府信息公开行政复议情况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23536299765808"/>
                  <c:y val="0.00332594235033259"/>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20755269320843"/>
                  <c:y val="0.045084996304508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1580796252927"/>
                  <c:y val="-0.062453806356245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维持具体行政行为</c:v>
                </c:pt>
                <c:pt idx="1">
                  <c:v>被依法纠错</c:v>
                </c:pt>
                <c:pt idx="2">
                  <c:v>其他情形</c:v>
                </c:pt>
              </c:strCache>
            </c:strRef>
          </c:cat>
          <c:val>
            <c:numRef>
              <c:f>Sheet1!$B$2:$B$4</c:f>
              <c:numCache>
                <c:formatCode>0.00%</c:formatCode>
                <c:ptCount val="3"/>
                <c:pt idx="0">
                  <c:v>0.615</c:v>
                </c:pt>
                <c:pt idx="1">
                  <c:v>0.154</c:v>
                </c:pt>
                <c:pt idx="2">
                  <c:v>0.231</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thickThin" algn="ctr">
      <a:solidFill>
        <a:schemeClr val="accent1"/>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mj-ea"/>
                <a:ea typeface="+mj-ea"/>
              </a:rPr>
              <a:t>政府信息公开行政诉讼情况</a:t>
            </a:r>
            <a:endParaRPr b="1">
              <a:latin typeface="+mj-ea"/>
              <a:ea typeface="+mj-ea"/>
            </a:endParaRPr>
          </a:p>
        </c:rich>
      </c:tx>
      <c:layout/>
      <c:overlay val="0"/>
      <c:spPr>
        <a:noFill/>
        <a:ln>
          <a:noFill/>
        </a:ln>
        <a:effectLst/>
      </c:spPr>
    </c:title>
    <c:autoTitleDeleted val="0"/>
    <c:plotArea>
      <c:layout/>
      <c:doughnutChart>
        <c:varyColors val="1"/>
        <c:ser>
          <c:idx val="0"/>
          <c:order val="0"/>
          <c:tx>
            <c:strRef>
              <c:f>Sheet1!$B$1</c:f>
              <c:strCache>
                <c:ptCount val="1"/>
                <c:pt idx="0">
                  <c:v>因政府信息公开行政诉讼情况</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775203506574828"/>
                  <c:y val="-0.020796064400715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822792736380714"/>
                  <c:y val="0.050313059033989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821540388227927"/>
                  <c:y val="-0.050313059033989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维持具体行政行为或驳回原告诉讼请求</c:v>
                </c:pt>
                <c:pt idx="1">
                  <c:v>被依法纠错</c:v>
                </c:pt>
                <c:pt idx="2">
                  <c:v>其他情形</c:v>
                </c:pt>
              </c:strCache>
            </c:strRef>
          </c:cat>
          <c:val>
            <c:numRef>
              <c:f>Sheet1!$B$2:$B$4</c:f>
              <c:numCache>
                <c:formatCode>0.00%</c:formatCode>
                <c:ptCount val="3"/>
                <c:pt idx="0">
                  <c:v>0.407</c:v>
                </c:pt>
                <c:pt idx="1">
                  <c:v>0.13</c:v>
                </c:pt>
                <c:pt idx="2">
                  <c:v>0.463</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28575" cap="flat" cmpd="thickThin" algn="ctr">
      <a:solidFill>
        <a:schemeClr val="accent1"/>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38</Pages>
  <Words>12785</Words>
  <Characters>13430</Characters>
  <Lines>100</Lines>
  <Paragraphs>28</Paragraphs>
  <TotalTime>2</TotalTime>
  <ScaleCrop>false</ScaleCrop>
  <LinksUpToDate>false</LinksUpToDate>
  <CharactersWithSpaces>13767</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2018-02-06T08:15:00Z</dcterms:created>
  <dc:creator>Administrator</dc:creator>
  <cp:lastModifiedBy>董柏</cp:lastModifiedBy>
  <cp:lastPrinted>2018-02-06T03:32:00Z</cp:lastPrinted>
  <dcterms:modified xsi:type="dcterms:W3CDTF">2019-03-29T02:18:54Z</dcterms:modified>
  <dc:title>淄博市2016年政务公开情况报告</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